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F2F1C" w14:textId="77777777" w:rsidR="00384C0F" w:rsidRPr="00B029FF" w:rsidRDefault="00B22B94" w:rsidP="00B029FF">
      <w:pPr>
        <w:pStyle w:val="mainbodycopy"/>
        <w:rPr>
          <w:b/>
          <w:sz w:val="56"/>
          <w:szCs w:val="56"/>
        </w:rPr>
      </w:pPr>
      <w:bookmarkStart w:id="0" w:name="_Toc36455379"/>
      <w:bookmarkStart w:id="1" w:name="_Toc36554481"/>
      <w:bookmarkStart w:id="2" w:name="_Toc40898412"/>
      <w:bookmarkStart w:id="3" w:name="_Toc44499435"/>
      <w:bookmarkStart w:id="4" w:name="_Toc52889666"/>
      <w:bookmarkStart w:id="5" w:name="_Toc52889726"/>
      <w:bookmarkStart w:id="6" w:name="_Toc532893248"/>
      <w:r w:rsidRPr="00B029FF">
        <w:rPr>
          <w:b/>
          <w:sz w:val="56"/>
          <w:szCs w:val="56"/>
        </w:rPr>
        <w:t>Briefing</w:t>
      </w:r>
      <w:r w:rsidR="005036F7" w:rsidRPr="00B029FF">
        <w:rPr>
          <w:b/>
          <w:sz w:val="56"/>
          <w:szCs w:val="56"/>
        </w:rPr>
        <w:t>:</w:t>
      </w:r>
      <w:r w:rsidR="00384C0F" w:rsidRPr="00B029FF">
        <w:rPr>
          <w:b/>
          <w:sz w:val="56"/>
          <w:szCs w:val="56"/>
        </w:rPr>
        <w:t xml:space="preserve"> Domestic Abuse Bill</w:t>
      </w:r>
      <w:bookmarkEnd w:id="0"/>
      <w:bookmarkEnd w:id="1"/>
      <w:bookmarkEnd w:id="2"/>
      <w:r w:rsidR="0010432E" w:rsidRPr="00B029FF">
        <w:rPr>
          <w:b/>
          <w:sz w:val="56"/>
          <w:szCs w:val="56"/>
        </w:rPr>
        <w:t xml:space="preserve"> </w:t>
      </w:r>
      <w:r w:rsidR="007535AA" w:rsidRPr="00B029FF">
        <w:rPr>
          <w:b/>
          <w:sz w:val="56"/>
          <w:szCs w:val="56"/>
        </w:rPr>
        <w:t>2019-21</w:t>
      </w:r>
      <w:bookmarkEnd w:id="3"/>
      <w:bookmarkEnd w:id="4"/>
      <w:bookmarkEnd w:id="5"/>
    </w:p>
    <w:p w14:paraId="169EF8E0" w14:textId="77777777" w:rsidR="007535AA" w:rsidRPr="007535AA" w:rsidRDefault="007535AA" w:rsidP="007535AA">
      <w:pPr>
        <w:pStyle w:val="mainbodycopy"/>
        <w:rPr>
          <w:b/>
          <w:sz w:val="36"/>
          <w:szCs w:val="36"/>
        </w:rPr>
      </w:pPr>
      <w:r w:rsidRPr="007535AA">
        <w:rPr>
          <w:b/>
          <w:sz w:val="36"/>
          <w:szCs w:val="36"/>
        </w:rPr>
        <w:t xml:space="preserve">House of </w:t>
      </w:r>
      <w:r w:rsidR="003615CE">
        <w:rPr>
          <w:b/>
          <w:sz w:val="36"/>
          <w:szCs w:val="36"/>
        </w:rPr>
        <w:t>Lords</w:t>
      </w:r>
      <w:r w:rsidRPr="007535AA">
        <w:rPr>
          <w:b/>
          <w:sz w:val="36"/>
          <w:szCs w:val="36"/>
        </w:rPr>
        <w:t xml:space="preserve"> </w:t>
      </w:r>
      <w:r w:rsidR="003615CE">
        <w:rPr>
          <w:b/>
          <w:sz w:val="36"/>
          <w:szCs w:val="36"/>
        </w:rPr>
        <w:t>–</w:t>
      </w:r>
      <w:r w:rsidRPr="007535AA">
        <w:rPr>
          <w:b/>
          <w:sz w:val="36"/>
          <w:szCs w:val="36"/>
        </w:rPr>
        <w:t xml:space="preserve"> </w:t>
      </w:r>
      <w:r w:rsidR="003615CE">
        <w:rPr>
          <w:b/>
          <w:sz w:val="36"/>
          <w:szCs w:val="36"/>
        </w:rPr>
        <w:t>Second Reading</w:t>
      </w:r>
    </w:p>
    <w:p w14:paraId="6BBE6996" w14:textId="77777777" w:rsidR="003A670E" w:rsidRDefault="000C5CA5" w:rsidP="00384C0F">
      <w:r>
        <w:t xml:space="preserve">5 </w:t>
      </w:r>
      <w:r w:rsidR="00FA42AD" w:rsidRPr="003D0BC6">
        <w:t>January</w:t>
      </w:r>
      <w:r w:rsidR="00FA42AD">
        <w:t xml:space="preserve"> 2021</w:t>
      </w:r>
    </w:p>
    <w:p w14:paraId="02E592E3" w14:textId="77777777" w:rsidR="00384C0F" w:rsidRDefault="00384C0F" w:rsidP="00384C0F"/>
    <w:p w14:paraId="3C40B774" w14:textId="77777777" w:rsidR="0041781B" w:rsidRDefault="0041781B">
      <w:pPr>
        <w:spacing w:after="160" w:line="259" w:lineRule="auto"/>
      </w:pPr>
      <w:bookmarkStart w:id="7" w:name="_GoBack"/>
      <w:bookmarkEnd w:id="7"/>
    </w:p>
    <w:sdt>
      <w:sdtPr>
        <w:rPr>
          <w:rFonts w:eastAsia="Calibri"/>
          <w:lang w:val="en-GB"/>
        </w:rPr>
        <w:id w:val="2101751837"/>
        <w:docPartObj>
          <w:docPartGallery w:val="Table of Contents"/>
          <w:docPartUnique/>
        </w:docPartObj>
      </w:sdtPr>
      <w:sdtEndPr>
        <w:rPr>
          <w:rFonts w:ascii="Arial" w:hAnsi="Arial" w:cs="Times New Roman"/>
          <w:b/>
          <w:bCs/>
          <w:noProof/>
          <w:color w:val="auto"/>
          <w:sz w:val="24"/>
          <w:szCs w:val="22"/>
        </w:rPr>
      </w:sdtEndPr>
      <w:sdtContent>
        <w:p w14:paraId="19CA9E55" w14:textId="34B39BB5" w:rsidR="006E4F2F" w:rsidRPr="00980458" w:rsidRDefault="006E4F2F" w:rsidP="00980458">
          <w:pPr>
            <w:pStyle w:val="TOCHeading"/>
            <w:rPr>
              <w:rFonts w:ascii="Arial" w:hAnsi="Arial" w:cs="Arial"/>
              <w:b/>
              <w:color w:val="000000" w:themeColor="text1"/>
            </w:rPr>
          </w:pPr>
          <w:r w:rsidRPr="00980458">
            <w:rPr>
              <w:rFonts w:ascii="Arial" w:hAnsi="Arial" w:cs="Arial"/>
              <w:b/>
              <w:color w:val="000000" w:themeColor="text1"/>
            </w:rPr>
            <w:t>Contents</w:t>
          </w:r>
          <w:r w:rsidR="00980458">
            <w:rPr>
              <w:rFonts w:ascii="Arial" w:hAnsi="Arial" w:cs="Arial"/>
              <w:b/>
              <w:color w:val="000000" w:themeColor="text1"/>
            </w:rPr>
            <w:br/>
          </w:r>
        </w:p>
        <w:p w14:paraId="02721162" w14:textId="22E49BBD" w:rsidR="00207BB9" w:rsidRDefault="00B029FF">
          <w:pPr>
            <w:pStyle w:val="TOC2"/>
            <w:tabs>
              <w:tab w:val="right" w:leader="dot" w:pos="9016"/>
            </w:tabs>
            <w:rPr>
              <w:rFonts w:asciiTheme="minorHAnsi" w:eastAsiaTheme="minorEastAsia" w:hAnsiTheme="minorHAnsi" w:cstheme="minorBidi"/>
              <w:noProof/>
              <w:sz w:val="22"/>
              <w:lang w:eastAsia="en-GB"/>
            </w:rPr>
          </w:pPr>
          <w:r>
            <w:fldChar w:fldCharType="begin"/>
          </w:r>
          <w:r>
            <w:instrText xml:space="preserve"> TOC \o "1-1" \h \z \t "&gt; (level 2) section,2" </w:instrText>
          </w:r>
          <w:r>
            <w:fldChar w:fldCharType="separate"/>
          </w:r>
          <w:hyperlink w:anchor="_Toc59194657" w:history="1">
            <w:r w:rsidR="00207BB9" w:rsidRPr="001000AA">
              <w:rPr>
                <w:rStyle w:val="Hyperlink"/>
                <w:noProof/>
              </w:rPr>
              <w:t>Executive Summary</w:t>
            </w:r>
            <w:r w:rsidR="00207BB9">
              <w:rPr>
                <w:noProof/>
                <w:webHidden/>
              </w:rPr>
              <w:tab/>
            </w:r>
            <w:r w:rsidR="00207BB9">
              <w:rPr>
                <w:noProof/>
                <w:webHidden/>
              </w:rPr>
              <w:fldChar w:fldCharType="begin"/>
            </w:r>
            <w:r w:rsidR="00207BB9">
              <w:rPr>
                <w:noProof/>
                <w:webHidden/>
              </w:rPr>
              <w:instrText xml:space="preserve"> PAGEREF _Toc59194657 \h </w:instrText>
            </w:r>
            <w:r w:rsidR="00207BB9">
              <w:rPr>
                <w:noProof/>
                <w:webHidden/>
              </w:rPr>
            </w:r>
            <w:r w:rsidR="00207BB9">
              <w:rPr>
                <w:noProof/>
                <w:webHidden/>
              </w:rPr>
              <w:fldChar w:fldCharType="separate"/>
            </w:r>
            <w:r w:rsidR="00207BB9">
              <w:rPr>
                <w:noProof/>
                <w:webHidden/>
              </w:rPr>
              <w:t>2</w:t>
            </w:r>
            <w:r w:rsidR="00207BB9">
              <w:rPr>
                <w:noProof/>
                <w:webHidden/>
              </w:rPr>
              <w:fldChar w:fldCharType="end"/>
            </w:r>
          </w:hyperlink>
        </w:p>
        <w:p w14:paraId="6D1189A2" w14:textId="3C7B2258" w:rsidR="00207BB9" w:rsidRDefault="00026464">
          <w:pPr>
            <w:pStyle w:val="TOC2"/>
            <w:tabs>
              <w:tab w:val="right" w:leader="dot" w:pos="9016"/>
            </w:tabs>
            <w:rPr>
              <w:rFonts w:asciiTheme="minorHAnsi" w:eastAsiaTheme="minorEastAsia" w:hAnsiTheme="minorHAnsi" w:cstheme="minorBidi"/>
              <w:noProof/>
              <w:sz w:val="22"/>
              <w:lang w:eastAsia="en-GB"/>
            </w:rPr>
          </w:pPr>
          <w:hyperlink w:anchor="_Toc59194658" w:history="1">
            <w:r w:rsidR="00207BB9" w:rsidRPr="001000AA">
              <w:rPr>
                <w:rStyle w:val="Hyperlink"/>
                <w:noProof/>
              </w:rPr>
              <w:t>Commission’s Recommendations</w:t>
            </w:r>
            <w:r w:rsidR="00207BB9">
              <w:rPr>
                <w:noProof/>
                <w:webHidden/>
              </w:rPr>
              <w:tab/>
            </w:r>
            <w:r w:rsidR="00207BB9">
              <w:rPr>
                <w:noProof/>
                <w:webHidden/>
              </w:rPr>
              <w:fldChar w:fldCharType="begin"/>
            </w:r>
            <w:r w:rsidR="00207BB9">
              <w:rPr>
                <w:noProof/>
                <w:webHidden/>
              </w:rPr>
              <w:instrText xml:space="preserve"> PAGEREF _Toc59194658 \h </w:instrText>
            </w:r>
            <w:r w:rsidR="00207BB9">
              <w:rPr>
                <w:noProof/>
                <w:webHidden/>
              </w:rPr>
            </w:r>
            <w:r w:rsidR="00207BB9">
              <w:rPr>
                <w:noProof/>
                <w:webHidden/>
              </w:rPr>
              <w:fldChar w:fldCharType="separate"/>
            </w:r>
            <w:r w:rsidR="00207BB9">
              <w:rPr>
                <w:noProof/>
                <w:webHidden/>
              </w:rPr>
              <w:t>4</w:t>
            </w:r>
            <w:r w:rsidR="00207BB9">
              <w:rPr>
                <w:noProof/>
                <w:webHidden/>
              </w:rPr>
              <w:fldChar w:fldCharType="end"/>
            </w:r>
          </w:hyperlink>
        </w:p>
        <w:p w14:paraId="54D9EC10" w14:textId="0032A51B" w:rsidR="00207BB9" w:rsidRDefault="00026464">
          <w:pPr>
            <w:pStyle w:val="TOC2"/>
            <w:tabs>
              <w:tab w:val="left" w:pos="880"/>
              <w:tab w:val="right" w:leader="dot" w:pos="9016"/>
            </w:tabs>
            <w:rPr>
              <w:rFonts w:asciiTheme="minorHAnsi" w:eastAsiaTheme="minorEastAsia" w:hAnsiTheme="minorHAnsi" w:cstheme="minorBidi"/>
              <w:noProof/>
              <w:sz w:val="22"/>
              <w:lang w:eastAsia="en-GB"/>
            </w:rPr>
          </w:pPr>
          <w:hyperlink w:anchor="_Toc59194659" w:history="1">
            <w:r w:rsidR="00207BB9" w:rsidRPr="001000AA">
              <w:rPr>
                <w:rStyle w:val="Hyperlink"/>
                <w:noProof/>
              </w:rPr>
              <w:t>1.</w:t>
            </w:r>
            <w:r w:rsidR="00207BB9">
              <w:rPr>
                <w:rFonts w:asciiTheme="minorHAnsi" w:eastAsiaTheme="minorEastAsia" w:hAnsiTheme="minorHAnsi" w:cstheme="minorBidi"/>
                <w:noProof/>
                <w:sz w:val="22"/>
                <w:lang w:eastAsia="en-GB"/>
              </w:rPr>
              <w:tab/>
            </w:r>
            <w:r w:rsidR="00207BB9" w:rsidRPr="001000AA">
              <w:rPr>
                <w:rStyle w:val="Hyperlink"/>
                <w:noProof/>
              </w:rPr>
              <w:t>Sufficient specialist services, available without discrimination</w:t>
            </w:r>
            <w:r w:rsidR="00207BB9">
              <w:rPr>
                <w:noProof/>
                <w:webHidden/>
              </w:rPr>
              <w:tab/>
            </w:r>
            <w:r w:rsidR="00207BB9">
              <w:rPr>
                <w:noProof/>
                <w:webHidden/>
              </w:rPr>
              <w:fldChar w:fldCharType="begin"/>
            </w:r>
            <w:r w:rsidR="00207BB9">
              <w:rPr>
                <w:noProof/>
                <w:webHidden/>
              </w:rPr>
              <w:instrText xml:space="preserve"> PAGEREF _Toc59194659 \h </w:instrText>
            </w:r>
            <w:r w:rsidR="00207BB9">
              <w:rPr>
                <w:noProof/>
                <w:webHidden/>
              </w:rPr>
            </w:r>
            <w:r w:rsidR="00207BB9">
              <w:rPr>
                <w:noProof/>
                <w:webHidden/>
              </w:rPr>
              <w:fldChar w:fldCharType="separate"/>
            </w:r>
            <w:r w:rsidR="00207BB9">
              <w:rPr>
                <w:noProof/>
                <w:webHidden/>
              </w:rPr>
              <w:t>4</w:t>
            </w:r>
            <w:r w:rsidR="00207BB9">
              <w:rPr>
                <w:noProof/>
                <w:webHidden/>
              </w:rPr>
              <w:fldChar w:fldCharType="end"/>
            </w:r>
          </w:hyperlink>
        </w:p>
        <w:p w14:paraId="4741F50F" w14:textId="11268F24" w:rsidR="00207BB9" w:rsidRDefault="00026464">
          <w:pPr>
            <w:pStyle w:val="TOC2"/>
            <w:tabs>
              <w:tab w:val="left" w:pos="880"/>
              <w:tab w:val="right" w:leader="dot" w:pos="9016"/>
            </w:tabs>
            <w:rPr>
              <w:rFonts w:asciiTheme="minorHAnsi" w:eastAsiaTheme="minorEastAsia" w:hAnsiTheme="minorHAnsi" w:cstheme="minorBidi"/>
              <w:noProof/>
              <w:sz w:val="22"/>
              <w:lang w:eastAsia="en-GB"/>
            </w:rPr>
          </w:pPr>
          <w:hyperlink w:anchor="_Toc59194660" w:history="1">
            <w:r w:rsidR="00207BB9" w:rsidRPr="001000AA">
              <w:rPr>
                <w:rStyle w:val="Hyperlink"/>
                <w:noProof/>
              </w:rPr>
              <w:t>2.</w:t>
            </w:r>
            <w:r w:rsidR="00207BB9">
              <w:rPr>
                <w:rFonts w:asciiTheme="minorHAnsi" w:eastAsiaTheme="minorEastAsia" w:hAnsiTheme="minorHAnsi" w:cstheme="minorBidi"/>
                <w:noProof/>
                <w:sz w:val="22"/>
                <w:lang w:eastAsia="en-GB"/>
              </w:rPr>
              <w:tab/>
            </w:r>
            <w:r w:rsidR="00207BB9" w:rsidRPr="001000AA">
              <w:rPr>
                <w:rStyle w:val="Hyperlink"/>
                <w:noProof/>
              </w:rPr>
              <w:t>Equal protection and support for migrant survivors</w:t>
            </w:r>
            <w:r w:rsidR="00207BB9">
              <w:rPr>
                <w:noProof/>
                <w:webHidden/>
              </w:rPr>
              <w:tab/>
            </w:r>
            <w:r w:rsidR="00207BB9">
              <w:rPr>
                <w:noProof/>
                <w:webHidden/>
              </w:rPr>
              <w:fldChar w:fldCharType="begin"/>
            </w:r>
            <w:r w:rsidR="00207BB9">
              <w:rPr>
                <w:noProof/>
                <w:webHidden/>
              </w:rPr>
              <w:instrText xml:space="preserve"> PAGEREF _Toc59194660 \h </w:instrText>
            </w:r>
            <w:r w:rsidR="00207BB9">
              <w:rPr>
                <w:noProof/>
                <w:webHidden/>
              </w:rPr>
            </w:r>
            <w:r w:rsidR="00207BB9">
              <w:rPr>
                <w:noProof/>
                <w:webHidden/>
              </w:rPr>
              <w:fldChar w:fldCharType="separate"/>
            </w:r>
            <w:r w:rsidR="00207BB9">
              <w:rPr>
                <w:noProof/>
                <w:webHidden/>
              </w:rPr>
              <w:t>7</w:t>
            </w:r>
            <w:r w:rsidR="00207BB9">
              <w:rPr>
                <w:noProof/>
                <w:webHidden/>
              </w:rPr>
              <w:fldChar w:fldCharType="end"/>
            </w:r>
          </w:hyperlink>
        </w:p>
        <w:p w14:paraId="486312B8" w14:textId="6D719FCD" w:rsidR="00207BB9" w:rsidRDefault="00026464">
          <w:pPr>
            <w:pStyle w:val="TOC2"/>
            <w:tabs>
              <w:tab w:val="left" w:pos="880"/>
              <w:tab w:val="right" w:leader="dot" w:pos="9016"/>
            </w:tabs>
            <w:rPr>
              <w:rFonts w:asciiTheme="minorHAnsi" w:eastAsiaTheme="minorEastAsia" w:hAnsiTheme="minorHAnsi" w:cstheme="minorBidi"/>
              <w:noProof/>
              <w:sz w:val="22"/>
              <w:lang w:eastAsia="en-GB"/>
            </w:rPr>
          </w:pPr>
          <w:hyperlink w:anchor="_Toc59194661" w:history="1">
            <w:r w:rsidR="00207BB9" w:rsidRPr="001000AA">
              <w:rPr>
                <w:rStyle w:val="Hyperlink"/>
                <w:rFonts w:cs="Arial"/>
                <w:noProof/>
                <w:spacing w:val="3"/>
              </w:rPr>
              <w:t>3.</w:t>
            </w:r>
            <w:r w:rsidR="00207BB9">
              <w:rPr>
                <w:rFonts w:asciiTheme="minorHAnsi" w:eastAsiaTheme="minorEastAsia" w:hAnsiTheme="minorHAnsi" w:cstheme="minorBidi"/>
                <w:noProof/>
                <w:sz w:val="22"/>
                <w:lang w:eastAsia="en-GB"/>
              </w:rPr>
              <w:tab/>
            </w:r>
            <w:r w:rsidR="00207BB9" w:rsidRPr="001000AA">
              <w:rPr>
                <w:rStyle w:val="Hyperlink"/>
                <w:noProof/>
              </w:rPr>
              <w:t>Better protections for survivors in the courts</w:t>
            </w:r>
            <w:r w:rsidR="00207BB9">
              <w:rPr>
                <w:noProof/>
                <w:webHidden/>
              </w:rPr>
              <w:tab/>
            </w:r>
            <w:r w:rsidR="00207BB9">
              <w:rPr>
                <w:noProof/>
                <w:webHidden/>
              </w:rPr>
              <w:fldChar w:fldCharType="begin"/>
            </w:r>
            <w:r w:rsidR="00207BB9">
              <w:rPr>
                <w:noProof/>
                <w:webHidden/>
              </w:rPr>
              <w:instrText xml:space="preserve"> PAGEREF _Toc59194661 \h </w:instrText>
            </w:r>
            <w:r w:rsidR="00207BB9">
              <w:rPr>
                <w:noProof/>
                <w:webHidden/>
              </w:rPr>
            </w:r>
            <w:r w:rsidR="00207BB9">
              <w:rPr>
                <w:noProof/>
                <w:webHidden/>
              </w:rPr>
              <w:fldChar w:fldCharType="separate"/>
            </w:r>
            <w:r w:rsidR="00207BB9">
              <w:rPr>
                <w:noProof/>
                <w:webHidden/>
              </w:rPr>
              <w:t>10</w:t>
            </w:r>
            <w:r w:rsidR="00207BB9">
              <w:rPr>
                <w:noProof/>
                <w:webHidden/>
              </w:rPr>
              <w:fldChar w:fldCharType="end"/>
            </w:r>
          </w:hyperlink>
        </w:p>
        <w:p w14:paraId="1BD2079E" w14:textId="614BB9F1" w:rsidR="00207BB9" w:rsidRDefault="00026464">
          <w:pPr>
            <w:pStyle w:val="TOC2"/>
            <w:tabs>
              <w:tab w:val="left" w:pos="880"/>
              <w:tab w:val="right" w:leader="dot" w:pos="9016"/>
            </w:tabs>
            <w:rPr>
              <w:rFonts w:asciiTheme="minorHAnsi" w:eastAsiaTheme="minorEastAsia" w:hAnsiTheme="minorHAnsi" w:cstheme="minorBidi"/>
              <w:noProof/>
              <w:sz w:val="22"/>
              <w:lang w:eastAsia="en-GB"/>
            </w:rPr>
          </w:pPr>
          <w:hyperlink w:anchor="_Toc59194662" w:history="1">
            <w:r w:rsidR="00207BB9" w:rsidRPr="001000AA">
              <w:rPr>
                <w:rStyle w:val="Hyperlink"/>
                <w:noProof/>
              </w:rPr>
              <w:t>4.</w:t>
            </w:r>
            <w:r w:rsidR="00207BB9">
              <w:rPr>
                <w:rFonts w:asciiTheme="minorHAnsi" w:eastAsiaTheme="minorEastAsia" w:hAnsiTheme="minorHAnsi" w:cstheme="minorBidi"/>
                <w:noProof/>
                <w:sz w:val="22"/>
                <w:lang w:eastAsia="en-GB"/>
              </w:rPr>
              <w:tab/>
            </w:r>
            <w:r w:rsidR="00207BB9" w:rsidRPr="001000AA">
              <w:rPr>
                <w:rStyle w:val="Hyperlink"/>
                <w:noProof/>
              </w:rPr>
              <w:t>Protection for disabled survivors subject to coercive control</w:t>
            </w:r>
            <w:r w:rsidR="00207BB9">
              <w:rPr>
                <w:noProof/>
                <w:webHidden/>
              </w:rPr>
              <w:tab/>
            </w:r>
            <w:r w:rsidR="00207BB9">
              <w:rPr>
                <w:noProof/>
                <w:webHidden/>
              </w:rPr>
              <w:fldChar w:fldCharType="begin"/>
            </w:r>
            <w:r w:rsidR="00207BB9">
              <w:rPr>
                <w:noProof/>
                <w:webHidden/>
              </w:rPr>
              <w:instrText xml:space="preserve"> PAGEREF _Toc59194662 \h </w:instrText>
            </w:r>
            <w:r w:rsidR="00207BB9">
              <w:rPr>
                <w:noProof/>
                <w:webHidden/>
              </w:rPr>
            </w:r>
            <w:r w:rsidR="00207BB9">
              <w:rPr>
                <w:noProof/>
                <w:webHidden/>
              </w:rPr>
              <w:fldChar w:fldCharType="separate"/>
            </w:r>
            <w:r w:rsidR="00207BB9">
              <w:rPr>
                <w:noProof/>
                <w:webHidden/>
              </w:rPr>
              <w:t>13</w:t>
            </w:r>
            <w:r w:rsidR="00207BB9">
              <w:rPr>
                <w:noProof/>
                <w:webHidden/>
              </w:rPr>
              <w:fldChar w:fldCharType="end"/>
            </w:r>
          </w:hyperlink>
        </w:p>
        <w:p w14:paraId="637B0C04" w14:textId="1F147356" w:rsidR="00207BB9" w:rsidRDefault="00026464">
          <w:pPr>
            <w:pStyle w:val="TOC2"/>
            <w:tabs>
              <w:tab w:val="left" w:pos="880"/>
              <w:tab w:val="right" w:leader="dot" w:pos="9016"/>
            </w:tabs>
            <w:rPr>
              <w:rFonts w:asciiTheme="minorHAnsi" w:eastAsiaTheme="minorEastAsia" w:hAnsiTheme="minorHAnsi" w:cstheme="minorBidi"/>
              <w:noProof/>
              <w:sz w:val="22"/>
              <w:lang w:eastAsia="en-GB"/>
            </w:rPr>
          </w:pPr>
          <w:hyperlink w:anchor="_Toc59194663" w:history="1">
            <w:r w:rsidR="00207BB9" w:rsidRPr="001000AA">
              <w:rPr>
                <w:rStyle w:val="Hyperlink"/>
                <w:noProof/>
              </w:rPr>
              <w:t>5.</w:t>
            </w:r>
            <w:r w:rsidR="00207BB9">
              <w:rPr>
                <w:rFonts w:asciiTheme="minorHAnsi" w:eastAsiaTheme="minorEastAsia" w:hAnsiTheme="minorHAnsi" w:cstheme="minorBidi"/>
                <w:noProof/>
                <w:sz w:val="22"/>
                <w:lang w:eastAsia="en-GB"/>
              </w:rPr>
              <w:tab/>
            </w:r>
            <w:r w:rsidR="00207BB9" w:rsidRPr="001000AA">
              <w:rPr>
                <w:rStyle w:val="Hyperlink"/>
                <w:noProof/>
              </w:rPr>
              <w:t>Reference to violence against women and girls strategy</w:t>
            </w:r>
            <w:r w:rsidR="00207BB9">
              <w:rPr>
                <w:noProof/>
                <w:webHidden/>
              </w:rPr>
              <w:tab/>
            </w:r>
            <w:r w:rsidR="00207BB9">
              <w:rPr>
                <w:noProof/>
                <w:webHidden/>
              </w:rPr>
              <w:fldChar w:fldCharType="begin"/>
            </w:r>
            <w:r w:rsidR="00207BB9">
              <w:rPr>
                <w:noProof/>
                <w:webHidden/>
              </w:rPr>
              <w:instrText xml:space="preserve"> PAGEREF _Toc59194663 \h </w:instrText>
            </w:r>
            <w:r w:rsidR="00207BB9">
              <w:rPr>
                <w:noProof/>
                <w:webHidden/>
              </w:rPr>
            </w:r>
            <w:r w:rsidR="00207BB9">
              <w:rPr>
                <w:noProof/>
                <w:webHidden/>
              </w:rPr>
              <w:fldChar w:fldCharType="separate"/>
            </w:r>
            <w:r w:rsidR="00207BB9">
              <w:rPr>
                <w:noProof/>
                <w:webHidden/>
              </w:rPr>
              <w:t>16</w:t>
            </w:r>
            <w:r w:rsidR="00207BB9">
              <w:rPr>
                <w:noProof/>
                <w:webHidden/>
              </w:rPr>
              <w:fldChar w:fldCharType="end"/>
            </w:r>
          </w:hyperlink>
        </w:p>
        <w:p w14:paraId="74D95AEC" w14:textId="0BDEEE8B" w:rsidR="006E4F2F" w:rsidRDefault="00B029FF">
          <w:r>
            <w:fldChar w:fldCharType="end"/>
          </w:r>
        </w:p>
      </w:sdtContent>
    </w:sdt>
    <w:p w14:paraId="51820692" w14:textId="77777777" w:rsidR="00384C0F" w:rsidRDefault="00384C0F">
      <w:pPr>
        <w:spacing w:after="160" w:line="259" w:lineRule="auto"/>
        <w:rPr>
          <w:rFonts w:eastAsia="Times New Roman"/>
          <w:b/>
          <w:bCs/>
          <w:sz w:val="28"/>
          <w:szCs w:val="26"/>
        </w:rPr>
      </w:pPr>
      <w:r>
        <w:br w:type="page"/>
      </w:r>
    </w:p>
    <w:p w14:paraId="0442EC2E" w14:textId="77777777" w:rsidR="002C1949" w:rsidRPr="00DD3D0F" w:rsidRDefault="007535AA" w:rsidP="00534703">
      <w:pPr>
        <w:pStyle w:val="level2section"/>
      </w:pPr>
      <w:bookmarkStart w:id="8" w:name="_Toc59194657"/>
      <w:bookmarkEnd w:id="6"/>
      <w:r>
        <w:lastRenderedPageBreak/>
        <w:t>Executive Summary</w:t>
      </w:r>
      <w:bookmarkEnd w:id="8"/>
    </w:p>
    <w:p w14:paraId="166B4BB9" w14:textId="77777777" w:rsidR="00384C0F" w:rsidRPr="00D24237" w:rsidRDefault="00384C0F" w:rsidP="00992EF4">
      <w:pPr>
        <w:pStyle w:val="mainbodycopy"/>
        <w:spacing w:before="120" w:after="120"/>
      </w:pPr>
      <w:bookmarkStart w:id="9" w:name="_Toc532893250"/>
      <w:r w:rsidRPr="00D24237">
        <w:t xml:space="preserve">The Equality and Human Rights Commission has been given powers by Parliament to advise Government on the equality and human rights implications of laws and proposed laws and to publish information or provide advice, including to Parliament, on any matter related to equality, diversity and human rights. </w:t>
      </w:r>
    </w:p>
    <w:p w14:paraId="2D44B5BA" w14:textId="5F4329B9" w:rsidR="00FD3303" w:rsidRDefault="00384C0F" w:rsidP="00992EF4">
      <w:pPr>
        <w:spacing w:before="120" w:after="120" w:line="360" w:lineRule="auto"/>
        <w:rPr>
          <w:rFonts w:cs="Arial"/>
          <w:spacing w:val="3"/>
          <w:szCs w:val="24"/>
        </w:rPr>
      </w:pPr>
      <w:r w:rsidRPr="00D24237">
        <w:rPr>
          <w:rFonts w:cs="Arial"/>
          <w:spacing w:val="3"/>
          <w:szCs w:val="24"/>
        </w:rPr>
        <w:t xml:space="preserve">The Domestic Abuse Bill is </w:t>
      </w:r>
      <w:r>
        <w:rPr>
          <w:rFonts w:cs="Arial"/>
          <w:spacing w:val="3"/>
          <w:szCs w:val="24"/>
        </w:rPr>
        <w:t xml:space="preserve">intended to be </w:t>
      </w:r>
      <w:r w:rsidRPr="00D24237">
        <w:rPr>
          <w:rFonts w:cs="Arial"/>
          <w:spacing w:val="3"/>
          <w:szCs w:val="24"/>
        </w:rPr>
        <w:t>a ‘once-in-a-generation opportunity to transform the response’</w:t>
      </w:r>
      <w:r w:rsidR="001725E8">
        <w:rPr>
          <w:rStyle w:val="FootnoteReference"/>
          <w:rFonts w:cs="Arial"/>
          <w:spacing w:val="3"/>
          <w:szCs w:val="24"/>
        </w:rPr>
        <w:footnoteReference w:id="1"/>
      </w:r>
      <w:r w:rsidRPr="00D24237">
        <w:rPr>
          <w:rFonts w:cs="Arial"/>
          <w:spacing w:val="3"/>
          <w:szCs w:val="24"/>
        </w:rPr>
        <w:t xml:space="preserve"> to </w:t>
      </w:r>
      <w:r>
        <w:rPr>
          <w:rFonts w:cs="Arial"/>
          <w:spacing w:val="3"/>
          <w:szCs w:val="24"/>
        </w:rPr>
        <w:t>this crime</w:t>
      </w:r>
      <w:r w:rsidR="00E4616F">
        <w:rPr>
          <w:rFonts w:cs="Arial"/>
          <w:spacing w:val="3"/>
          <w:szCs w:val="24"/>
        </w:rPr>
        <w:t>, which disproportionately impacts women and girls</w:t>
      </w:r>
      <w:r w:rsidRPr="00D24237">
        <w:rPr>
          <w:rFonts w:cs="Arial"/>
          <w:spacing w:val="3"/>
          <w:szCs w:val="24"/>
        </w:rPr>
        <w:t>. The Commission welcomes the opportunity the Bill presents to ensure better support and protection for survivors of domestic abuse</w:t>
      </w:r>
      <w:r w:rsidR="00316984">
        <w:rPr>
          <w:rFonts w:cs="Arial"/>
          <w:spacing w:val="3"/>
          <w:szCs w:val="24"/>
        </w:rPr>
        <w:t xml:space="preserve"> in England and Wales</w:t>
      </w:r>
      <w:r w:rsidRPr="00D24237">
        <w:rPr>
          <w:rFonts w:cs="Arial"/>
          <w:spacing w:val="3"/>
          <w:szCs w:val="24"/>
        </w:rPr>
        <w:t>.</w:t>
      </w:r>
      <w:r w:rsidR="006C5A8D">
        <w:rPr>
          <w:rFonts w:cs="Arial"/>
          <w:spacing w:val="3"/>
          <w:szCs w:val="24"/>
        </w:rPr>
        <w:t xml:space="preserve"> </w:t>
      </w:r>
      <w:r w:rsidR="00B0668D">
        <w:rPr>
          <w:rFonts w:cs="Arial"/>
          <w:spacing w:val="3"/>
          <w:szCs w:val="24"/>
        </w:rPr>
        <w:t xml:space="preserve">The need to improve routes to support and safety for domestic abuse survivors has been brought </w:t>
      </w:r>
      <w:r w:rsidR="00DD4C3C">
        <w:rPr>
          <w:rFonts w:cs="Arial"/>
          <w:spacing w:val="3"/>
          <w:szCs w:val="24"/>
        </w:rPr>
        <w:t>into</w:t>
      </w:r>
      <w:r w:rsidR="00B0668D">
        <w:rPr>
          <w:rFonts w:cs="Arial"/>
          <w:spacing w:val="3"/>
          <w:szCs w:val="24"/>
        </w:rPr>
        <w:t xml:space="preserve"> sharp focus during the coronavirus pandemic, with increases in reported cases of domestic abuse across the UK.</w:t>
      </w:r>
      <w:r w:rsidR="00DD4C3C">
        <w:rPr>
          <w:rStyle w:val="FootnoteReference"/>
          <w:rFonts w:cs="Arial"/>
          <w:spacing w:val="3"/>
          <w:szCs w:val="24"/>
        </w:rPr>
        <w:footnoteReference w:id="2"/>
      </w:r>
      <w:r w:rsidR="00DD4C3C">
        <w:rPr>
          <w:rFonts w:cs="Arial"/>
          <w:spacing w:val="3"/>
          <w:szCs w:val="24"/>
        </w:rPr>
        <w:t xml:space="preserve"> </w:t>
      </w:r>
    </w:p>
    <w:p w14:paraId="3FFC58EB" w14:textId="2F50EAA1" w:rsidR="001725E8" w:rsidRDefault="001250F5" w:rsidP="00992EF4">
      <w:pPr>
        <w:spacing w:before="120" w:after="120" w:line="360" w:lineRule="auto"/>
        <w:rPr>
          <w:rFonts w:cs="Arial"/>
          <w:spacing w:val="3"/>
          <w:szCs w:val="24"/>
        </w:rPr>
      </w:pPr>
      <w:r>
        <w:rPr>
          <w:rFonts w:cs="Arial"/>
          <w:spacing w:val="3"/>
          <w:szCs w:val="24"/>
        </w:rPr>
        <w:t xml:space="preserve">The Government has </w:t>
      </w:r>
      <w:r w:rsidR="00FD3303">
        <w:rPr>
          <w:rFonts w:cs="Arial"/>
          <w:spacing w:val="3"/>
          <w:szCs w:val="24"/>
        </w:rPr>
        <w:t xml:space="preserve">made </w:t>
      </w:r>
      <w:r>
        <w:rPr>
          <w:rFonts w:cs="Arial"/>
          <w:spacing w:val="3"/>
          <w:szCs w:val="24"/>
        </w:rPr>
        <w:t xml:space="preserve">a </w:t>
      </w:r>
      <w:r w:rsidR="006C5A8D">
        <w:rPr>
          <w:rFonts w:cs="Arial"/>
          <w:spacing w:val="3"/>
          <w:szCs w:val="24"/>
        </w:rPr>
        <w:t xml:space="preserve">number of </w:t>
      </w:r>
      <w:r>
        <w:rPr>
          <w:rFonts w:cs="Arial"/>
          <w:spacing w:val="3"/>
          <w:szCs w:val="24"/>
        </w:rPr>
        <w:t xml:space="preserve">important </w:t>
      </w:r>
      <w:r w:rsidR="00A82286">
        <w:rPr>
          <w:rFonts w:cs="Arial"/>
          <w:spacing w:val="3"/>
          <w:szCs w:val="24"/>
        </w:rPr>
        <w:t xml:space="preserve">improvements to the Bill since </w:t>
      </w:r>
      <w:r w:rsidR="00403F96">
        <w:rPr>
          <w:rFonts w:cs="Arial"/>
          <w:spacing w:val="3"/>
          <w:szCs w:val="24"/>
        </w:rPr>
        <w:t>it was introduced</w:t>
      </w:r>
      <w:r>
        <w:rPr>
          <w:rFonts w:cs="Arial"/>
          <w:spacing w:val="3"/>
          <w:szCs w:val="24"/>
        </w:rPr>
        <w:t>, including</w:t>
      </w:r>
      <w:r w:rsidR="00FD3303">
        <w:rPr>
          <w:rFonts w:cs="Arial"/>
          <w:spacing w:val="3"/>
          <w:szCs w:val="24"/>
        </w:rPr>
        <w:t xml:space="preserve">: </w:t>
      </w:r>
      <w:r w:rsidR="00CE44AC">
        <w:rPr>
          <w:rFonts w:cs="Arial"/>
          <w:spacing w:val="3"/>
          <w:szCs w:val="24"/>
        </w:rPr>
        <w:t xml:space="preserve">(i) a </w:t>
      </w:r>
      <w:r>
        <w:rPr>
          <w:rFonts w:cs="Arial"/>
          <w:spacing w:val="3"/>
          <w:szCs w:val="24"/>
        </w:rPr>
        <w:t xml:space="preserve">new </w:t>
      </w:r>
      <w:r w:rsidR="00CE44AC">
        <w:rPr>
          <w:rFonts w:cs="Arial"/>
          <w:spacing w:val="3"/>
          <w:szCs w:val="24"/>
        </w:rPr>
        <w:t>duty on local authorities to ensure service provision in refuges</w:t>
      </w:r>
      <w:r w:rsidR="00403F96">
        <w:rPr>
          <w:rFonts w:cs="Arial"/>
          <w:spacing w:val="3"/>
          <w:szCs w:val="24"/>
        </w:rPr>
        <w:t xml:space="preserve"> and other safe accommodation</w:t>
      </w:r>
      <w:r w:rsidR="00CE44AC">
        <w:rPr>
          <w:rFonts w:cs="Arial"/>
          <w:spacing w:val="3"/>
          <w:szCs w:val="24"/>
        </w:rPr>
        <w:t>; and (ii) improvements in</w:t>
      </w:r>
      <w:r w:rsidR="00274801">
        <w:rPr>
          <w:rFonts w:cs="Arial"/>
          <w:spacing w:val="3"/>
          <w:szCs w:val="24"/>
        </w:rPr>
        <w:t xml:space="preserve"> protecti</w:t>
      </w:r>
      <w:r w:rsidR="00CE44AC">
        <w:rPr>
          <w:rFonts w:cs="Arial"/>
          <w:spacing w:val="3"/>
          <w:szCs w:val="24"/>
        </w:rPr>
        <w:t>ons for survivors in the courts (including</w:t>
      </w:r>
      <w:r w:rsidR="00103481">
        <w:rPr>
          <w:rFonts w:cs="Arial"/>
          <w:spacing w:val="3"/>
          <w:szCs w:val="24"/>
        </w:rPr>
        <w:t>:</w:t>
      </w:r>
      <w:r w:rsidR="00CE44AC">
        <w:rPr>
          <w:rFonts w:cs="Arial"/>
          <w:spacing w:val="3"/>
          <w:szCs w:val="24"/>
        </w:rPr>
        <w:t xml:space="preserve"> automatic eligibility</w:t>
      </w:r>
      <w:r w:rsidR="004740D3">
        <w:rPr>
          <w:rFonts w:cs="Arial"/>
          <w:spacing w:val="3"/>
          <w:szCs w:val="24"/>
        </w:rPr>
        <w:t xml:space="preserve"> for special measures in</w:t>
      </w:r>
      <w:r w:rsidR="004740D3" w:rsidRPr="004740D3">
        <w:rPr>
          <w:rFonts w:cs="Arial"/>
          <w:spacing w:val="3"/>
          <w:szCs w:val="24"/>
        </w:rPr>
        <w:t xml:space="preserve"> the family courts</w:t>
      </w:r>
      <w:r w:rsidR="00103481">
        <w:rPr>
          <w:rFonts w:cs="Arial"/>
          <w:spacing w:val="3"/>
          <w:szCs w:val="24"/>
        </w:rPr>
        <w:t>;</w:t>
      </w:r>
      <w:r w:rsidR="00D31C87">
        <w:rPr>
          <w:rFonts w:cs="Arial"/>
          <w:spacing w:val="3"/>
          <w:szCs w:val="24"/>
        </w:rPr>
        <w:t xml:space="preserve"> a ban on cross-examination in person in certain cir</w:t>
      </w:r>
      <w:r w:rsidR="00103481">
        <w:rPr>
          <w:rFonts w:cs="Arial"/>
          <w:spacing w:val="3"/>
          <w:szCs w:val="24"/>
        </w:rPr>
        <w:t>cumstances in the family courts; and</w:t>
      </w:r>
      <w:r w:rsidR="00D31C87">
        <w:rPr>
          <w:rFonts w:cs="Arial"/>
          <w:spacing w:val="3"/>
          <w:szCs w:val="24"/>
        </w:rPr>
        <w:t xml:space="preserve"> provisions allowing for discretion to order these measures in the civil courts</w:t>
      </w:r>
      <w:r w:rsidR="00A46E07">
        <w:rPr>
          <w:rFonts w:cs="Arial"/>
          <w:spacing w:val="3"/>
          <w:szCs w:val="24"/>
        </w:rPr>
        <w:t xml:space="preserve"> in certain circumstances</w:t>
      </w:r>
      <w:r w:rsidR="00CE44AC">
        <w:rPr>
          <w:rFonts w:cs="Arial"/>
          <w:spacing w:val="3"/>
          <w:szCs w:val="24"/>
        </w:rPr>
        <w:t>)</w:t>
      </w:r>
      <w:r w:rsidR="00D31C87">
        <w:rPr>
          <w:rFonts w:cs="Arial"/>
          <w:spacing w:val="3"/>
          <w:szCs w:val="24"/>
        </w:rPr>
        <w:t xml:space="preserve">.  </w:t>
      </w:r>
    </w:p>
    <w:p w14:paraId="64089D03" w14:textId="3842E86B" w:rsidR="00A0238D" w:rsidRDefault="001250F5" w:rsidP="00992EF4">
      <w:pPr>
        <w:spacing w:before="120" w:after="120" w:line="360" w:lineRule="auto"/>
        <w:rPr>
          <w:rFonts w:cs="Arial"/>
          <w:spacing w:val="3"/>
          <w:szCs w:val="24"/>
        </w:rPr>
      </w:pPr>
      <w:r>
        <w:rPr>
          <w:rFonts w:cs="Arial"/>
          <w:spacing w:val="3"/>
          <w:szCs w:val="24"/>
        </w:rPr>
        <w:t xml:space="preserve">We welcome </w:t>
      </w:r>
      <w:r w:rsidR="00A0238D">
        <w:rPr>
          <w:rFonts w:cs="Arial"/>
          <w:spacing w:val="3"/>
          <w:szCs w:val="24"/>
        </w:rPr>
        <w:t>these</w:t>
      </w:r>
      <w:r>
        <w:rPr>
          <w:rFonts w:cs="Arial"/>
          <w:spacing w:val="3"/>
          <w:szCs w:val="24"/>
        </w:rPr>
        <w:t xml:space="preserve"> improvements but recommend that further</w:t>
      </w:r>
      <w:r w:rsidR="00384C0F" w:rsidRPr="00D24237">
        <w:rPr>
          <w:rFonts w:cs="Arial"/>
          <w:spacing w:val="3"/>
          <w:szCs w:val="24"/>
        </w:rPr>
        <w:t xml:space="preserve"> changes are </w:t>
      </w:r>
      <w:r w:rsidR="006C5A8D">
        <w:rPr>
          <w:rFonts w:cs="Arial"/>
          <w:spacing w:val="3"/>
          <w:szCs w:val="24"/>
        </w:rPr>
        <w:t xml:space="preserve"> </w:t>
      </w:r>
      <w:r w:rsidR="00384C0F" w:rsidRPr="00D24237">
        <w:rPr>
          <w:rFonts w:cs="Arial"/>
          <w:spacing w:val="3"/>
          <w:szCs w:val="24"/>
        </w:rPr>
        <w:t xml:space="preserve">required for it to be the transformative legislation the Government </w:t>
      </w:r>
      <w:r>
        <w:rPr>
          <w:rFonts w:cs="Arial"/>
          <w:spacing w:val="3"/>
          <w:szCs w:val="24"/>
        </w:rPr>
        <w:t>intends</w:t>
      </w:r>
      <w:r w:rsidR="00384C0F" w:rsidRPr="00D24237">
        <w:rPr>
          <w:rFonts w:cs="Arial"/>
          <w:spacing w:val="3"/>
          <w:szCs w:val="24"/>
        </w:rPr>
        <w:t xml:space="preserve"> it to be</w:t>
      </w:r>
      <w:r w:rsidR="00C207F0">
        <w:rPr>
          <w:rFonts w:cs="Arial"/>
          <w:spacing w:val="3"/>
          <w:szCs w:val="24"/>
        </w:rPr>
        <w:t xml:space="preserve">. </w:t>
      </w:r>
      <w:r w:rsidR="00A0238D">
        <w:rPr>
          <w:rFonts w:cs="Arial"/>
          <w:spacing w:val="3"/>
          <w:szCs w:val="24"/>
        </w:rPr>
        <w:t xml:space="preserve">This briefing sets out </w:t>
      </w:r>
      <w:r w:rsidR="00FD3303">
        <w:rPr>
          <w:rFonts w:cs="Arial"/>
          <w:spacing w:val="3"/>
          <w:szCs w:val="24"/>
        </w:rPr>
        <w:t>our recommendations</w:t>
      </w:r>
      <w:r w:rsidR="00A0238D">
        <w:rPr>
          <w:rFonts w:cs="Arial"/>
          <w:spacing w:val="3"/>
          <w:szCs w:val="24"/>
        </w:rPr>
        <w:t xml:space="preserve"> to ensure the legislation</w:t>
      </w:r>
      <w:r w:rsidR="00FD3303">
        <w:rPr>
          <w:rFonts w:cs="Arial"/>
          <w:spacing w:val="3"/>
          <w:szCs w:val="24"/>
        </w:rPr>
        <w:t xml:space="preserve"> meets this ambition,</w:t>
      </w:r>
      <w:r w:rsidR="00A0238D">
        <w:rPr>
          <w:rFonts w:cs="Arial"/>
          <w:spacing w:val="3"/>
          <w:szCs w:val="24"/>
        </w:rPr>
        <w:t xml:space="preserve"> improves</w:t>
      </w:r>
      <w:r w:rsidR="00915F01">
        <w:rPr>
          <w:rFonts w:cs="Arial"/>
          <w:spacing w:val="3"/>
          <w:szCs w:val="24"/>
        </w:rPr>
        <w:t xml:space="preserve"> support and protection</w:t>
      </w:r>
      <w:r w:rsidR="00247426">
        <w:rPr>
          <w:rFonts w:cs="Arial"/>
          <w:spacing w:val="3"/>
          <w:szCs w:val="24"/>
        </w:rPr>
        <w:t xml:space="preserve"> </w:t>
      </w:r>
      <w:r w:rsidR="00B0668D">
        <w:rPr>
          <w:rFonts w:cs="Arial"/>
          <w:spacing w:val="3"/>
          <w:szCs w:val="24"/>
        </w:rPr>
        <w:t>for</w:t>
      </w:r>
      <w:r w:rsidR="00915F01">
        <w:rPr>
          <w:rFonts w:cs="Arial"/>
          <w:spacing w:val="3"/>
          <w:szCs w:val="24"/>
        </w:rPr>
        <w:t xml:space="preserve"> </w:t>
      </w:r>
      <w:r w:rsidR="00A0238D">
        <w:rPr>
          <w:rFonts w:cs="Arial"/>
          <w:spacing w:val="3"/>
          <w:szCs w:val="24"/>
        </w:rPr>
        <w:t>all survivors</w:t>
      </w:r>
      <w:r w:rsidR="00915F01">
        <w:rPr>
          <w:rFonts w:cs="Arial"/>
          <w:spacing w:val="3"/>
          <w:szCs w:val="24"/>
        </w:rPr>
        <w:t xml:space="preserve">, and supports </w:t>
      </w:r>
      <w:r w:rsidR="00A0238D" w:rsidRPr="00D24237">
        <w:rPr>
          <w:rFonts w:cs="Arial"/>
          <w:spacing w:val="3"/>
          <w:szCs w:val="24"/>
        </w:rPr>
        <w:t xml:space="preserve">compliance with </w:t>
      </w:r>
      <w:r w:rsidR="00FD3303">
        <w:rPr>
          <w:rFonts w:cs="Arial"/>
          <w:spacing w:val="3"/>
          <w:szCs w:val="24"/>
        </w:rPr>
        <w:t xml:space="preserve">the Government’s </w:t>
      </w:r>
      <w:r w:rsidR="00915F01">
        <w:rPr>
          <w:rFonts w:cs="Arial"/>
          <w:spacing w:val="3"/>
          <w:szCs w:val="24"/>
        </w:rPr>
        <w:t>commitments under the</w:t>
      </w:r>
      <w:r w:rsidR="00A0238D" w:rsidRPr="00D24237">
        <w:rPr>
          <w:rFonts w:cs="Arial"/>
          <w:spacing w:val="3"/>
          <w:szCs w:val="24"/>
        </w:rPr>
        <w:t xml:space="preserve"> Convention on Preventing and Combatting Violence against Women and Domestic Violence (the Istanbul Convention) and with the UN Convention on the Elimination of All Forms of Discrimination against Women (CEDAW).</w:t>
      </w:r>
    </w:p>
    <w:p w14:paraId="3F0FA6F4" w14:textId="5E626F3E" w:rsidR="00B545DA" w:rsidRDefault="00982932" w:rsidP="00992EF4">
      <w:pPr>
        <w:spacing w:before="120" w:after="120" w:line="259" w:lineRule="auto"/>
        <w:rPr>
          <w:rFonts w:cs="Arial"/>
          <w:spacing w:val="3"/>
          <w:szCs w:val="24"/>
        </w:rPr>
      </w:pPr>
      <w:r>
        <w:rPr>
          <w:rFonts w:cs="Arial"/>
          <w:spacing w:val="3"/>
          <w:szCs w:val="24"/>
        </w:rPr>
        <w:t xml:space="preserve">We recommend changes to the Bill in </w:t>
      </w:r>
      <w:r w:rsidR="001C2CB8">
        <w:rPr>
          <w:rFonts w:cs="Arial"/>
          <w:spacing w:val="3"/>
          <w:szCs w:val="24"/>
        </w:rPr>
        <w:t xml:space="preserve">five </w:t>
      </w:r>
      <w:r>
        <w:rPr>
          <w:rFonts w:cs="Arial"/>
          <w:spacing w:val="3"/>
          <w:szCs w:val="24"/>
        </w:rPr>
        <w:t>priority areas</w:t>
      </w:r>
      <w:r w:rsidR="0091245E">
        <w:rPr>
          <w:rFonts w:cs="Arial"/>
          <w:spacing w:val="3"/>
          <w:szCs w:val="24"/>
        </w:rPr>
        <w:t xml:space="preserve"> to ensure</w:t>
      </w:r>
      <w:r>
        <w:rPr>
          <w:rFonts w:cs="Arial"/>
          <w:spacing w:val="3"/>
          <w:szCs w:val="24"/>
        </w:rPr>
        <w:t>:</w:t>
      </w:r>
    </w:p>
    <w:p w14:paraId="1CE467BE" w14:textId="77777777" w:rsidR="00992EF4" w:rsidRDefault="00992EF4" w:rsidP="00992EF4">
      <w:pPr>
        <w:spacing w:before="120" w:after="120" w:line="259" w:lineRule="auto"/>
        <w:rPr>
          <w:rFonts w:cs="Arial"/>
          <w:spacing w:val="3"/>
          <w:szCs w:val="24"/>
        </w:rPr>
      </w:pPr>
    </w:p>
    <w:p w14:paraId="6A41C774" w14:textId="3BEB18D0" w:rsidR="0091245E" w:rsidRPr="00840017" w:rsidRDefault="00DB4DCE" w:rsidP="00992EF4">
      <w:pPr>
        <w:pStyle w:val="mainbodycopy"/>
        <w:numPr>
          <w:ilvl w:val="0"/>
          <w:numId w:val="4"/>
        </w:numPr>
        <w:spacing w:before="120" w:after="120"/>
        <w:rPr>
          <w:b/>
        </w:rPr>
      </w:pPr>
      <w:r w:rsidRPr="00182C36">
        <w:rPr>
          <w:b/>
        </w:rPr>
        <w:t>Sufficient</w:t>
      </w:r>
      <w:r w:rsidR="00B66BA9" w:rsidRPr="00182C36">
        <w:rPr>
          <w:b/>
        </w:rPr>
        <w:t xml:space="preserve"> </w:t>
      </w:r>
      <w:r w:rsidR="00DE3CDF" w:rsidRPr="00182C36">
        <w:rPr>
          <w:b/>
        </w:rPr>
        <w:t>specialist</w:t>
      </w:r>
      <w:r w:rsidR="004434DD">
        <w:rPr>
          <w:b/>
        </w:rPr>
        <w:t xml:space="preserve"> support</w:t>
      </w:r>
      <w:r w:rsidR="00DE3CDF" w:rsidRPr="00182C36">
        <w:rPr>
          <w:b/>
        </w:rPr>
        <w:t xml:space="preserve"> services,</w:t>
      </w:r>
      <w:r w:rsidR="00B66BA9" w:rsidRPr="00182C36">
        <w:rPr>
          <w:b/>
        </w:rPr>
        <w:t xml:space="preserve"> </w:t>
      </w:r>
      <w:r w:rsidR="00982932" w:rsidRPr="00182C36">
        <w:rPr>
          <w:b/>
        </w:rPr>
        <w:t>provided in the community</w:t>
      </w:r>
      <w:r w:rsidR="007535AA" w:rsidRPr="00182C36">
        <w:rPr>
          <w:b/>
        </w:rPr>
        <w:t xml:space="preserve"> as well as in </w:t>
      </w:r>
      <w:r w:rsidRPr="00182C36">
        <w:rPr>
          <w:b/>
        </w:rPr>
        <w:t>refuge</w:t>
      </w:r>
      <w:r w:rsidR="00F56009" w:rsidRPr="00182C36">
        <w:rPr>
          <w:b/>
        </w:rPr>
        <w:t>s</w:t>
      </w:r>
      <w:r w:rsidR="0091245E" w:rsidRPr="00182C36">
        <w:rPr>
          <w:b/>
        </w:rPr>
        <w:t>, and</w:t>
      </w:r>
      <w:r w:rsidR="00E22350" w:rsidRPr="00182C36">
        <w:rPr>
          <w:b/>
        </w:rPr>
        <w:t xml:space="preserve"> available to all</w:t>
      </w:r>
      <w:r w:rsidR="0091245E" w:rsidRPr="00182C36">
        <w:rPr>
          <w:b/>
        </w:rPr>
        <w:t xml:space="preserve"> without discrimination</w:t>
      </w:r>
      <w:r w:rsidR="0091245E" w:rsidRPr="00182C36">
        <w:t xml:space="preserve">. </w:t>
      </w:r>
      <w:r w:rsidR="00C207F0">
        <w:t xml:space="preserve">We recommend the Bill includes </w:t>
      </w:r>
      <w:r w:rsidR="00182C36" w:rsidRPr="00182C36">
        <w:t xml:space="preserve">a duty to provide: community-based services (as well as refuge-based services </w:t>
      </w:r>
      <w:r w:rsidR="00182C36" w:rsidRPr="00840017">
        <w:t xml:space="preserve">which are covered in Part 4 of the Bill); sufficient specialist services for groups with protected characteristics, </w:t>
      </w:r>
      <w:r w:rsidR="00093759">
        <w:t>and</w:t>
      </w:r>
      <w:r w:rsidR="00182C36" w:rsidRPr="00840017">
        <w:t xml:space="preserve"> </w:t>
      </w:r>
      <w:r w:rsidR="00F13B69">
        <w:t xml:space="preserve">for </w:t>
      </w:r>
      <w:r w:rsidR="00182C36" w:rsidRPr="00840017">
        <w:t>those with migrant status; services for children and young people; and perpetrator</w:t>
      </w:r>
      <w:r w:rsidR="004434DD">
        <w:t xml:space="preserve"> programmes</w:t>
      </w:r>
      <w:r w:rsidR="004F35A9">
        <w:t>.</w:t>
      </w:r>
    </w:p>
    <w:p w14:paraId="788DAE8A" w14:textId="0C4185AD" w:rsidR="00182C36" w:rsidRPr="004F35A9" w:rsidRDefault="00B66BA9" w:rsidP="00992EF4">
      <w:pPr>
        <w:pStyle w:val="mainbodycopy"/>
        <w:numPr>
          <w:ilvl w:val="0"/>
          <w:numId w:val="4"/>
        </w:numPr>
        <w:spacing w:before="120" w:after="120"/>
        <w:rPr>
          <w:b/>
        </w:rPr>
      </w:pPr>
      <w:r w:rsidRPr="004F35A9">
        <w:rPr>
          <w:b/>
        </w:rPr>
        <w:t>Equal protection</w:t>
      </w:r>
      <w:r w:rsidR="00182C36" w:rsidRPr="004F35A9">
        <w:rPr>
          <w:b/>
        </w:rPr>
        <w:t xml:space="preserve"> and support</w:t>
      </w:r>
      <w:r w:rsidRPr="004F35A9">
        <w:rPr>
          <w:b/>
        </w:rPr>
        <w:t xml:space="preserve"> for </w:t>
      </w:r>
      <w:r w:rsidR="00182C36" w:rsidRPr="004F35A9">
        <w:rPr>
          <w:b/>
        </w:rPr>
        <w:t xml:space="preserve">migrant survivors, </w:t>
      </w:r>
      <w:r w:rsidR="00182C36" w:rsidRPr="004F35A9">
        <w:t>including</w:t>
      </w:r>
      <w:r w:rsidR="001C2CB8">
        <w:t xml:space="preserve"> by</w:t>
      </w:r>
      <w:r w:rsidR="004F35A9" w:rsidRPr="004F35A9">
        <w:t>:</w:t>
      </w:r>
      <w:r w:rsidR="00182C36" w:rsidRPr="004F35A9">
        <w:t xml:space="preserve"> </w:t>
      </w:r>
      <w:r w:rsidR="00F13B69">
        <w:t xml:space="preserve">enshrining </w:t>
      </w:r>
      <w:r w:rsidR="00182C36" w:rsidRPr="004F35A9">
        <w:t>a non-discrimination principle in the Bill</w:t>
      </w:r>
      <w:r w:rsidR="004F35A9" w:rsidRPr="004F35A9">
        <w:t>;</w:t>
      </w:r>
      <w:r w:rsidR="00182C36" w:rsidRPr="004F35A9">
        <w:t xml:space="preserve"> </w:t>
      </w:r>
      <w:r w:rsidR="001C2CB8">
        <w:t>extending</w:t>
      </w:r>
      <w:r w:rsidR="00F13B69" w:rsidRPr="004F35A9">
        <w:t xml:space="preserve"> </w:t>
      </w:r>
      <w:r w:rsidR="00182C36" w:rsidRPr="004F35A9">
        <w:t>the Domestic Violence Rule to provide a route for all survivors to regu</w:t>
      </w:r>
      <w:r w:rsidR="004F35A9" w:rsidRPr="004F35A9">
        <w:t>larise their immigration status</w:t>
      </w:r>
      <w:r w:rsidR="00182C36" w:rsidRPr="004F35A9">
        <w:t xml:space="preserve"> </w:t>
      </w:r>
      <w:r w:rsidR="00056B01" w:rsidRPr="004F35A9">
        <w:t>(</w:t>
      </w:r>
      <w:r w:rsidR="00182C36" w:rsidRPr="004F35A9">
        <w:t xml:space="preserve">preventing </w:t>
      </w:r>
      <w:r w:rsidR="00056B01" w:rsidRPr="004F35A9">
        <w:t>immigration status</w:t>
      </w:r>
      <w:r w:rsidR="00182C36" w:rsidRPr="004F35A9">
        <w:t xml:space="preserve"> from being used as a tool of </w:t>
      </w:r>
      <w:r w:rsidR="00056B01" w:rsidRPr="004F35A9">
        <w:t>coercive</w:t>
      </w:r>
      <w:r w:rsidR="00182C36" w:rsidRPr="004F35A9">
        <w:t xml:space="preserve"> control</w:t>
      </w:r>
      <w:r w:rsidR="00056B01" w:rsidRPr="004F35A9">
        <w:t>)</w:t>
      </w:r>
      <w:r w:rsidR="00182C36" w:rsidRPr="004F35A9">
        <w:t xml:space="preserve">; and </w:t>
      </w:r>
      <w:r w:rsidR="001C2CB8">
        <w:t>prohibiting the</w:t>
      </w:r>
      <w:r w:rsidR="00182C36" w:rsidRPr="004F35A9">
        <w:t xml:space="preserve"> sharing </w:t>
      </w:r>
      <w:r w:rsidR="001C2CB8">
        <w:t xml:space="preserve">of </w:t>
      </w:r>
      <w:r w:rsidR="00182C36" w:rsidRPr="004F35A9">
        <w:t>survivors</w:t>
      </w:r>
      <w:r w:rsidR="004F35A9" w:rsidRPr="004F35A9">
        <w:t>’</w:t>
      </w:r>
      <w:r w:rsidR="00182C36" w:rsidRPr="004F35A9">
        <w:t xml:space="preserve"> personal data for immigration purposes, where that data is given </w:t>
      </w:r>
      <w:r w:rsidR="00093759">
        <w:t>by</w:t>
      </w:r>
      <w:r w:rsidR="00182C36" w:rsidRPr="004F35A9">
        <w:t xml:space="preserve"> a survivor seeking support for domestic abuse. </w:t>
      </w:r>
    </w:p>
    <w:p w14:paraId="6E6DD892" w14:textId="6CA0B90A" w:rsidR="00B758B2" w:rsidRDefault="00915504" w:rsidP="00992EF4">
      <w:pPr>
        <w:pStyle w:val="ListParagraph"/>
        <w:numPr>
          <w:ilvl w:val="0"/>
          <w:numId w:val="4"/>
        </w:numPr>
        <w:spacing w:before="120" w:after="120" w:line="360" w:lineRule="auto"/>
        <w:ind w:left="357" w:hanging="357"/>
        <w:contextualSpacing w:val="0"/>
        <w:rPr>
          <w:sz w:val="24"/>
          <w:szCs w:val="24"/>
        </w:rPr>
      </w:pPr>
      <w:r w:rsidRPr="00915504">
        <w:rPr>
          <w:b/>
          <w:sz w:val="24"/>
          <w:szCs w:val="24"/>
        </w:rPr>
        <w:t>Improved protections for survivors in the courts</w:t>
      </w:r>
      <w:r w:rsidR="00E91261" w:rsidRPr="00915504">
        <w:rPr>
          <w:b/>
          <w:sz w:val="24"/>
          <w:szCs w:val="24"/>
        </w:rPr>
        <w:t xml:space="preserve">, </w:t>
      </w:r>
      <w:r w:rsidR="00E91261" w:rsidRPr="00915504">
        <w:rPr>
          <w:sz w:val="24"/>
          <w:szCs w:val="24"/>
        </w:rPr>
        <w:t>with</w:t>
      </w:r>
      <w:r w:rsidR="00F56009" w:rsidRPr="00915504">
        <w:rPr>
          <w:sz w:val="24"/>
          <w:szCs w:val="24"/>
        </w:rPr>
        <w:t xml:space="preserve"> </w:t>
      </w:r>
      <w:r w:rsidR="00BF5C41" w:rsidRPr="00915504">
        <w:rPr>
          <w:sz w:val="24"/>
          <w:szCs w:val="24"/>
        </w:rPr>
        <w:t xml:space="preserve">special measures and </w:t>
      </w:r>
      <w:r w:rsidR="00B56807">
        <w:rPr>
          <w:sz w:val="24"/>
          <w:szCs w:val="24"/>
        </w:rPr>
        <w:t xml:space="preserve">a </w:t>
      </w:r>
      <w:r w:rsidR="00E22350" w:rsidRPr="00915504">
        <w:rPr>
          <w:sz w:val="24"/>
          <w:szCs w:val="24"/>
        </w:rPr>
        <w:t xml:space="preserve">prohibition on cross-examination in person available </w:t>
      </w:r>
      <w:r w:rsidR="00BF5C41" w:rsidRPr="00915504">
        <w:rPr>
          <w:sz w:val="24"/>
          <w:szCs w:val="24"/>
        </w:rPr>
        <w:t xml:space="preserve">automatically </w:t>
      </w:r>
      <w:r w:rsidR="008A548D" w:rsidRPr="00915504">
        <w:rPr>
          <w:sz w:val="24"/>
          <w:szCs w:val="24"/>
        </w:rPr>
        <w:t xml:space="preserve">in all cases where domestic abuse </w:t>
      </w:r>
      <w:r w:rsidR="00093759">
        <w:rPr>
          <w:sz w:val="24"/>
          <w:szCs w:val="24"/>
        </w:rPr>
        <w:t xml:space="preserve">is </w:t>
      </w:r>
      <w:r w:rsidR="004F35A9">
        <w:rPr>
          <w:sz w:val="24"/>
          <w:szCs w:val="24"/>
        </w:rPr>
        <w:t>an issue</w:t>
      </w:r>
      <w:r w:rsidRPr="00915504">
        <w:rPr>
          <w:sz w:val="24"/>
          <w:szCs w:val="24"/>
        </w:rPr>
        <w:t xml:space="preserve">, and consistency of protection </w:t>
      </w:r>
      <w:r w:rsidR="00F13B69">
        <w:rPr>
          <w:sz w:val="24"/>
          <w:szCs w:val="24"/>
        </w:rPr>
        <w:t xml:space="preserve">for survivors </w:t>
      </w:r>
      <w:r w:rsidRPr="00915504">
        <w:rPr>
          <w:sz w:val="24"/>
          <w:szCs w:val="24"/>
        </w:rPr>
        <w:t>across all court jurisdictions</w:t>
      </w:r>
      <w:r w:rsidR="00F56009" w:rsidRPr="00915504">
        <w:rPr>
          <w:sz w:val="24"/>
          <w:szCs w:val="24"/>
        </w:rPr>
        <w:t xml:space="preserve">. </w:t>
      </w:r>
    </w:p>
    <w:p w14:paraId="6A5A6518" w14:textId="21F60221" w:rsidR="0047021B" w:rsidRPr="00992EF4" w:rsidRDefault="00840017" w:rsidP="00992EF4">
      <w:pPr>
        <w:pStyle w:val="ListParagraph"/>
        <w:numPr>
          <w:ilvl w:val="0"/>
          <w:numId w:val="4"/>
        </w:numPr>
        <w:spacing w:before="120" w:after="120" w:line="360" w:lineRule="auto"/>
        <w:ind w:left="357" w:hanging="357"/>
        <w:contextualSpacing w:val="0"/>
        <w:rPr>
          <w:sz w:val="24"/>
          <w:szCs w:val="24"/>
        </w:rPr>
      </w:pPr>
      <w:r>
        <w:rPr>
          <w:b/>
          <w:sz w:val="24"/>
          <w:szCs w:val="24"/>
        </w:rPr>
        <w:t>Improved protections for disabled survivors</w:t>
      </w:r>
      <w:r w:rsidR="009314BD">
        <w:rPr>
          <w:b/>
          <w:sz w:val="24"/>
          <w:szCs w:val="24"/>
        </w:rPr>
        <w:t xml:space="preserve"> subject to coercive control</w:t>
      </w:r>
      <w:r w:rsidR="00E91261" w:rsidRPr="00915504">
        <w:rPr>
          <w:sz w:val="24"/>
          <w:szCs w:val="24"/>
        </w:rPr>
        <w:t xml:space="preserve">, </w:t>
      </w:r>
      <w:r w:rsidR="001C2CB8">
        <w:rPr>
          <w:sz w:val="24"/>
          <w:szCs w:val="24"/>
        </w:rPr>
        <w:t>by</w:t>
      </w:r>
      <w:r w:rsidR="001C2CB8" w:rsidRPr="00915504">
        <w:rPr>
          <w:sz w:val="24"/>
          <w:szCs w:val="24"/>
        </w:rPr>
        <w:t xml:space="preserve"> </w:t>
      </w:r>
      <w:r w:rsidR="00E91261" w:rsidRPr="00915504">
        <w:rPr>
          <w:sz w:val="24"/>
          <w:szCs w:val="24"/>
        </w:rPr>
        <w:t>repealing</w:t>
      </w:r>
      <w:r w:rsidRPr="00915504">
        <w:rPr>
          <w:sz w:val="24"/>
          <w:szCs w:val="24"/>
        </w:rPr>
        <w:t xml:space="preserve"> </w:t>
      </w:r>
      <w:r w:rsidR="00E91261" w:rsidRPr="00915504">
        <w:rPr>
          <w:sz w:val="24"/>
          <w:szCs w:val="24"/>
        </w:rPr>
        <w:t>t</w:t>
      </w:r>
      <w:r w:rsidRPr="00915504">
        <w:rPr>
          <w:sz w:val="24"/>
          <w:szCs w:val="24"/>
        </w:rPr>
        <w:t>he ‘best interests’ defence to the crime of coercive control, introduced in the Serious Crime Act 2015</w:t>
      </w:r>
      <w:r w:rsidR="003E56C5">
        <w:rPr>
          <w:sz w:val="24"/>
          <w:szCs w:val="24"/>
        </w:rPr>
        <w:t xml:space="preserve"> (section 76)</w:t>
      </w:r>
      <w:r w:rsidRPr="00915504">
        <w:rPr>
          <w:sz w:val="24"/>
          <w:szCs w:val="24"/>
        </w:rPr>
        <w:t>.</w:t>
      </w:r>
      <w:r w:rsidR="003E56C5">
        <w:rPr>
          <w:sz w:val="24"/>
          <w:szCs w:val="24"/>
        </w:rPr>
        <w:t>This would help ensure disabled survivors receive equal protection from th</w:t>
      </w:r>
      <w:r w:rsidR="00B545DA">
        <w:rPr>
          <w:sz w:val="24"/>
          <w:szCs w:val="24"/>
        </w:rPr>
        <w:t xml:space="preserve">is </w:t>
      </w:r>
      <w:r w:rsidR="003E56C5">
        <w:rPr>
          <w:sz w:val="24"/>
          <w:szCs w:val="24"/>
        </w:rPr>
        <w:t xml:space="preserve">crime. </w:t>
      </w:r>
      <w:r w:rsidR="00E91261">
        <w:rPr>
          <w:sz w:val="24"/>
          <w:szCs w:val="24"/>
        </w:rPr>
        <w:t xml:space="preserve"> </w:t>
      </w:r>
    </w:p>
    <w:p w14:paraId="28E54846" w14:textId="3AB7AFE4" w:rsidR="0047021B" w:rsidRPr="00E91261" w:rsidRDefault="0047021B" w:rsidP="00992EF4">
      <w:pPr>
        <w:pStyle w:val="ListParagraph"/>
        <w:numPr>
          <w:ilvl w:val="0"/>
          <w:numId w:val="4"/>
        </w:numPr>
        <w:spacing w:before="120" w:after="120" w:line="360" w:lineRule="auto"/>
        <w:contextualSpacing w:val="0"/>
        <w:rPr>
          <w:sz w:val="24"/>
          <w:szCs w:val="24"/>
        </w:rPr>
      </w:pPr>
      <w:r>
        <w:rPr>
          <w:b/>
          <w:iCs/>
          <w:sz w:val="24"/>
          <w:szCs w:val="24"/>
        </w:rPr>
        <w:t>G</w:t>
      </w:r>
      <w:r w:rsidRPr="0047021B">
        <w:rPr>
          <w:b/>
          <w:iCs/>
          <w:sz w:val="24"/>
          <w:szCs w:val="24"/>
        </w:rPr>
        <w:t xml:space="preserve">uidance issued under the Bill </w:t>
      </w:r>
      <w:r w:rsidR="00F13B69">
        <w:rPr>
          <w:b/>
          <w:iCs/>
          <w:sz w:val="24"/>
          <w:szCs w:val="24"/>
        </w:rPr>
        <w:t>takes</w:t>
      </w:r>
      <w:r w:rsidRPr="0047021B">
        <w:rPr>
          <w:b/>
          <w:iCs/>
          <w:sz w:val="24"/>
          <w:szCs w:val="24"/>
        </w:rPr>
        <w:t xml:space="preserve"> into account the cross-government </w:t>
      </w:r>
      <w:r>
        <w:rPr>
          <w:b/>
          <w:iCs/>
          <w:sz w:val="24"/>
          <w:szCs w:val="24"/>
        </w:rPr>
        <w:t>violence against women and girls (VAWG)</w:t>
      </w:r>
      <w:r w:rsidRPr="0047021B">
        <w:rPr>
          <w:b/>
          <w:iCs/>
          <w:sz w:val="24"/>
          <w:szCs w:val="24"/>
        </w:rPr>
        <w:t xml:space="preserve"> strategy</w:t>
      </w:r>
      <w:r w:rsidRPr="0047021B">
        <w:rPr>
          <w:iCs/>
          <w:sz w:val="24"/>
          <w:szCs w:val="24"/>
        </w:rPr>
        <w:t xml:space="preserve">, </w:t>
      </w:r>
      <w:r w:rsidR="003C14CD">
        <w:rPr>
          <w:iCs/>
          <w:sz w:val="24"/>
          <w:szCs w:val="24"/>
        </w:rPr>
        <w:t>so that there is a</w:t>
      </w:r>
      <w:r w:rsidR="003A2E34">
        <w:rPr>
          <w:iCs/>
          <w:sz w:val="24"/>
          <w:szCs w:val="24"/>
        </w:rPr>
        <w:t xml:space="preserve"> </w:t>
      </w:r>
      <w:r w:rsidRPr="0047021B">
        <w:rPr>
          <w:iCs/>
          <w:sz w:val="24"/>
          <w:szCs w:val="24"/>
        </w:rPr>
        <w:t xml:space="preserve">consistency of approach towards domestic abuse as a form of VAWG, and that the gendered nature of domestic abuse </w:t>
      </w:r>
      <w:r w:rsidR="003C14CD">
        <w:rPr>
          <w:iCs/>
          <w:sz w:val="24"/>
          <w:szCs w:val="24"/>
        </w:rPr>
        <w:t xml:space="preserve">and its connections to other forms of VAWG </w:t>
      </w:r>
      <w:r w:rsidRPr="0047021B">
        <w:rPr>
          <w:iCs/>
          <w:sz w:val="24"/>
          <w:szCs w:val="24"/>
        </w:rPr>
        <w:t>is taken</w:t>
      </w:r>
      <w:r>
        <w:rPr>
          <w:iCs/>
          <w:sz w:val="24"/>
          <w:szCs w:val="24"/>
        </w:rPr>
        <w:t xml:space="preserve"> into account in responding to this crime.</w:t>
      </w:r>
    </w:p>
    <w:p w14:paraId="7F12773F" w14:textId="77777777" w:rsidR="00B66BA9" w:rsidRDefault="00316984" w:rsidP="00316984">
      <w:pPr>
        <w:pStyle w:val="level2section"/>
      </w:pPr>
      <w:bookmarkStart w:id="10" w:name="_Toc59194658"/>
      <w:r>
        <w:lastRenderedPageBreak/>
        <w:t>Commission’s Recommendations</w:t>
      </w:r>
      <w:bookmarkEnd w:id="10"/>
    </w:p>
    <w:p w14:paraId="0275B995" w14:textId="77777777" w:rsidR="00B66BA9" w:rsidRDefault="008046CA" w:rsidP="005C7383">
      <w:pPr>
        <w:pStyle w:val="level2section"/>
        <w:numPr>
          <w:ilvl w:val="0"/>
          <w:numId w:val="5"/>
        </w:numPr>
      </w:pPr>
      <w:bookmarkStart w:id="11" w:name="_Toc59194659"/>
      <w:r>
        <w:t>Sufficient s</w:t>
      </w:r>
      <w:r w:rsidR="006016E1">
        <w:t>pecialist</w:t>
      </w:r>
      <w:r w:rsidR="00DE3CDF">
        <w:t xml:space="preserve"> services, </w:t>
      </w:r>
      <w:r w:rsidR="00334D14">
        <w:t>available without discrimination</w:t>
      </w:r>
      <w:bookmarkEnd w:id="11"/>
    </w:p>
    <w:p w14:paraId="795D28D2" w14:textId="77777777" w:rsidR="00DE3CDF" w:rsidRDefault="00DE3CDF" w:rsidP="00172E84">
      <w:pPr>
        <w:pStyle w:val="Heading3"/>
        <w:rPr>
          <w:i/>
        </w:rPr>
      </w:pPr>
      <w:r w:rsidRPr="0034759A">
        <w:rPr>
          <w:i/>
        </w:rPr>
        <w:t>Our recommendation</w:t>
      </w:r>
    </w:p>
    <w:p w14:paraId="05F3FA21" w14:textId="77777777" w:rsidR="0034759A" w:rsidRPr="0034759A" w:rsidRDefault="0034759A" w:rsidP="0034759A"/>
    <w:p w14:paraId="7BCF7583" w14:textId="138D9D30" w:rsidR="00DE3CDF" w:rsidRDefault="007151AC" w:rsidP="00092F89">
      <w:pPr>
        <w:autoSpaceDE w:val="0"/>
        <w:autoSpaceDN w:val="0"/>
        <w:adjustRightInd w:val="0"/>
        <w:spacing w:line="360" w:lineRule="auto"/>
        <w:rPr>
          <w:rFonts w:cs="Arial"/>
          <w:spacing w:val="3"/>
          <w:szCs w:val="24"/>
        </w:rPr>
      </w:pPr>
      <w:r>
        <w:rPr>
          <w:rFonts w:cs="Arial"/>
          <w:spacing w:val="3"/>
          <w:szCs w:val="24"/>
        </w:rPr>
        <w:t xml:space="preserve">We recommend that the Bill </w:t>
      </w:r>
      <w:r w:rsidR="00CE44AC">
        <w:rPr>
          <w:rFonts w:cs="Arial"/>
          <w:spacing w:val="3"/>
          <w:szCs w:val="24"/>
        </w:rPr>
        <w:t>places</w:t>
      </w:r>
      <w:r w:rsidR="00E94610" w:rsidRPr="00E94610">
        <w:rPr>
          <w:rFonts w:cs="Arial"/>
          <w:spacing w:val="3"/>
          <w:szCs w:val="24"/>
        </w:rPr>
        <w:t xml:space="preserve"> a statutory duty on relevant public authorities</w:t>
      </w:r>
      <w:r w:rsidR="00092F89">
        <w:rPr>
          <w:rFonts w:cs="Arial"/>
          <w:spacing w:val="3"/>
          <w:szCs w:val="24"/>
        </w:rPr>
        <w:t xml:space="preserve"> to ensure provision of </w:t>
      </w:r>
      <w:r w:rsidR="00092F89" w:rsidRPr="00092F89">
        <w:rPr>
          <w:rFonts w:cs="Arial"/>
          <w:spacing w:val="3"/>
          <w:szCs w:val="24"/>
        </w:rPr>
        <w:t>sufficient specialist domestic abuse services</w:t>
      </w:r>
      <w:r w:rsidR="00092F89">
        <w:rPr>
          <w:rFonts w:cs="Arial"/>
          <w:spacing w:val="3"/>
          <w:szCs w:val="24"/>
        </w:rPr>
        <w:t xml:space="preserve"> for</w:t>
      </w:r>
      <w:r w:rsidR="00E94610" w:rsidRPr="00E94610">
        <w:rPr>
          <w:rFonts w:cs="Arial"/>
          <w:spacing w:val="3"/>
          <w:szCs w:val="24"/>
        </w:rPr>
        <w:t xml:space="preserve"> </w:t>
      </w:r>
      <w:r w:rsidR="00092F89">
        <w:rPr>
          <w:rFonts w:cs="Arial"/>
          <w:spacing w:val="3"/>
          <w:szCs w:val="24"/>
        </w:rPr>
        <w:t>everyone</w:t>
      </w:r>
      <w:r w:rsidR="00E94610" w:rsidRPr="00E94610">
        <w:rPr>
          <w:rFonts w:cs="Arial"/>
          <w:spacing w:val="3"/>
          <w:szCs w:val="24"/>
        </w:rPr>
        <w:t xml:space="preserve"> affected by domestic abuse. This </w:t>
      </w:r>
      <w:r w:rsidR="00B16E34">
        <w:rPr>
          <w:rFonts w:cs="Arial"/>
          <w:spacing w:val="3"/>
          <w:szCs w:val="24"/>
        </w:rPr>
        <w:t>should include</w:t>
      </w:r>
      <w:r w:rsidR="003436E1">
        <w:rPr>
          <w:rFonts w:cs="Arial"/>
          <w:spacing w:val="3"/>
          <w:szCs w:val="24"/>
        </w:rPr>
        <w:t xml:space="preserve"> a duty to </w:t>
      </w:r>
      <w:r w:rsidR="009314BD">
        <w:rPr>
          <w:rFonts w:cs="Arial"/>
          <w:spacing w:val="3"/>
          <w:szCs w:val="24"/>
        </w:rPr>
        <w:t>ensure provision of</w:t>
      </w:r>
      <w:r w:rsidR="003436E1">
        <w:rPr>
          <w:rFonts w:cs="Arial"/>
          <w:spacing w:val="3"/>
          <w:szCs w:val="24"/>
        </w:rPr>
        <w:t>:</w:t>
      </w:r>
      <w:r w:rsidR="00E94610" w:rsidRPr="00E94610">
        <w:rPr>
          <w:rFonts w:cs="Arial"/>
          <w:spacing w:val="3"/>
          <w:szCs w:val="24"/>
        </w:rPr>
        <w:t xml:space="preserve"> community-based services</w:t>
      </w:r>
      <w:r w:rsidR="00B16E34">
        <w:rPr>
          <w:rFonts w:cs="Arial"/>
          <w:spacing w:val="3"/>
          <w:szCs w:val="24"/>
        </w:rPr>
        <w:t xml:space="preserve"> (as well as refuge-based services which are covered in Part 4 of the Bill)</w:t>
      </w:r>
      <w:r w:rsidR="00E94610" w:rsidRPr="00E94610">
        <w:rPr>
          <w:rFonts w:cs="Arial"/>
          <w:spacing w:val="3"/>
          <w:szCs w:val="24"/>
        </w:rPr>
        <w:t xml:space="preserve">; </w:t>
      </w:r>
      <w:r w:rsidR="00B16E34">
        <w:rPr>
          <w:rFonts w:cs="Arial"/>
          <w:spacing w:val="3"/>
          <w:szCs w:val="24"/>
        </w:rPr>
        <w:t xml:space="preserve">sufficient </w:t>
      </w:r>
      <w:r w:rsidR="00E94610" w:rsidRPr="00E94610">
        <w:rPr>
          <w:rFonts w:cs="Arial"/>
          <w:spacing w:val="3"/>
          <w:szCs w:val="24"/>
        </w:rPr>
        <w:t>specialist services for groups with protected characteristics</w:t>
      </w:r>
      <w:r w:rsidR="00092F89">
        <w:rPr>
          <w:rFonts w:cs="Arial"/>
          <w:spacing w:val="3"/>
          <w:szCs w:val="24"/>
        </w:rPr>
        <w:t>, as well as those with migrant status</w:t>
      </w:r>
      <w:r w:rsidR="00E94610" w:rsidRPr="00E94610">
        <w:rPr>
          <w:rFonts w:cs="Arial"/>
          <w:spacing w:val="3"/>
          <w:szCs w:val="24"/>
        </w:rPr>
        <w:t>; services for children and young people;</w:t>
      </w:r>
      <w:r w:rsidR="00B16E34">
        <w:rPr>
          <w:rFonts w:cs="Arial"/>
          <w:spacing w:val="3"/>
          <w:szCs w:val="24"/>
        </w:rPr>
        <w:t xml:space="preserve"> and</w:t>
      </w:r>
      <w:r w:rsidR="00E94610" w:rsidRPr="00E94610">
        <w:rPr>
          <w:rFonts w:cs="Arial"/>
          <w:spacing w:val="3"/>
          <w:szCs w:val="24"/>
        </w:rPr>
        <w:t xml:space="preserve"> services for perpetrators.</w:t>
      </w:r>
      <w:r w:rsidR="00CF11C6">
        <w:rPr>
          <w:rFonts w:cs="Arial"/>
          <w:spacing w:val="3"/>
          <w:szCs w:val="24"/>
        </w:rPr>
        <w:t xml:space="preserve"> </w:t>
      </w:r>
      <w:r w:rsidR="00C74C7E">
        <w:rPr>
          <w:rFonts w:cs="Arial"/>
          <w:spacing w:val="3"/>
          <w:szCs w:val="24"/>
        </w:rPr>
        <w:t>The Commission has worked with organisations from the children’s and v</w:t>
      </w:r>
      <w:r w:rsidR="00207BB9">
        <w:rPr>
          <w:rFonts w:cs="Arial"/>
          <w:spacing w:val="3"/>
          <w:szCs w:val="24"/>
        </w:rPr>
        <w:t>iolence against women and girls’</w:t>
      </w:r>
      <w:r w:rsidR="00C74C7E">
        <w:rPr>
          <w:rFonts w:cs="Arial"/>
          <w:spacing w:val="3"/>
          <w:szCs w:val="24"/>
        </w:rPr>
        <w:t xml:space="preserve"> sector</w:t>
      </w:r>
      <w:r w:rsidR="00247426">
        <w:rPr>
          <w:rFonts w:cs="Arial"/>
          <w:spacing w:val="3"/>
          <w:szCs w:val="24"/>
        </w:rPr>
        <w:t>s</w:t>
      </w:r>
      <w:r w:rsidR="00C74C7E">
        <w:rPr>
          <w:rFonts w:cs="Arial"/>
          <w:spacing w:val="3"/>
          <w:szCs w:val="24"/>
        </w:rPr>
        <w:t xml:space="preserve"> to develop</w:t>
      </w:r>
      <w:r w:rsidR="00CF11C6">
        <w:rPr>
          <w:rFonts w:cs="Arial"/>
          <w:spacing w:val="3"/>
          <w:szCs w:val="24"/>
        </w:rPr>
        <w:t xml:space="preserve"> </w:t>
      </w:r>
      <w:r w:rsidR="00C74C7E">
        <w:rPr>
          <w:rFonts w:cs="Arial"/>
          <w:spacing w:val="3"/>
          <w:szCs w:val="24"/>
        </w:rPr>
        <w:t xml:space="preserve">a </w:t>
      </w:r>
      <w:r w:rsidR="00CF11C6">
        <w:rPr>
          <w:rFonts w:cs="Arial"/>
          <w:spacing w:val="3"/>
          <w:szCs w:val="24"/>
        </w:rPr>
        <w:t xml:space="preserve">proposed </w:t>
      </w:r>
      <w:r w:rsidR="00C74C7E">
        <w:rPr>
          <w:rFonts w:cs="Arial"/>
          <w:spacing w:val="3"/>
          <w:szCs w:val="24"/>
        </w:rPr>
        <w:t xml:space="preserve">amendment to the Bill </w:t>
      </w:r>
      <w:r w:rsidR="006C7A30">
        <w:rPr>
          <w:rFonts w:cs="Arial"/>
          <w:spacing w:val="3"/>
          <w:szCs w:val="24"/>
        </w:rPr>
        <w:t>showing how this could be done</w:t>
      </w:r>
      <w:r w:rsidR="005203E1">
        <w:rPr>
          <w:rFonts w:cs="Arial"/>
          <w:spacing w:val="3"/>
          <w:szCs w:val="24"/>
        </w:rPr>
        <w:t>.</w:t>
      </w:r>
      <w:r w:rsidR="00DD4C3C">
        <w:rPr>
          <w:rFonts w:cs="Arial"/>
          <w:spacing w:val="3"/>
          <w:szCs w:val="24"/>
        </w:rPr>
        <w:t xml:space="preserve"> </w:t>
      </w:r>
      <w:r w:rsidR="00D06733">
        <w:rPr>
          <w:rFonts w:cs="Arial"/>
          <w:spacing w:val="3"/>
          <w:szCs w:val="24"/>
        </w:rPr>
        <w:t>A copy of the proposed amendment is available on request.</w:t>
      </w:r>
    </w:p>
    <w:p w14:paraId="6D137B85" w14:textId="77777777" w:rsidR="009E5F8F" w:rsidRDefault="009E5F8F" w:rsidP="00092F89">
      <w:pPr>
        <w:autoSpaceDE w:val="0"/>
        <w:autoSpaceDN w:val="0"/>
        <w:adjustRightInd w:val="0"/>
        <w:spacing w:line="360" w:lineRule="auto"/>
        <w:rPr>
          <w:rFonts w:cs="Arial"/>
          <w:spacing w:val="3"/>
          <w:szCs w:val="24"/>
        </w:rPr>
      </w:pPr>
    </w:p>
    <w:p w14:paraId="788E7326" w14:textId="77777777" w:rsidR="00374AE7" w:rsidRPr="0034759A" w:rsidRDefault="00D52B34" w:rsidP="00172E84">
      <w:pPr>
        <w:pStyle w:val="Heading3"/>
        <w:rPr>
          <w:i/>
        </w:rPr>
      </w:pPr>
      <w:r w:rsidRPr="0034759A">
        <w:rPr>
          <w:i/>
        </w:rPr>
        <w:t xml:space="preserve">Why </w:t>
      </w:r>
      <w:r w:rsidR="003436E1" w:rsidRPr="0034759A">
        <w:rPr>
          <w:i/>
        </w:rPr>
        <w:t>are these changes</w:t>
      </w:r>
      <w:r w:rsidR="007151AC" w:rsidRPr="0034759A">
        <w:rPr>
          <w:i/>
        </w:rPr>
        <w:t xml:space="preserve"> to the Bill</w:t>
      </w:r>
      <w:r w:rsidRPr="0034759A">
        <w:rPr>
          <w:i/>
        </w:rPr>
        <w:t xml:space="preserve"> needed?</w:t>
      </w:r>
    </w:p>
    <w:p w14:paraId="0BE463A8" w14:textId="77777777" w:rsidR="00092F89" w:rsidRPr="00092F89" w:rsidRDefault="00092F89" w:rsidP="00092F89"/>
    <w:p w14:paraId="53CFD868" w14:textId="77777777" w:rsidR="00640F30" w:rsidRPr="00A274B8" w:rsidRDefault="001606EC" w:rsidP="005C7383">
      <w:pPr>
        <w:pStyle w:val="ListParagraph"/>
        <w:numPr>
          <w:ilvl w:val="0"/>
          <w:numId w:val="3"/>
        </w:numPr>
        <w:spacing w:after="360" w:line="360" w:lineRule="auto"/>
        <w:rPr>
          <w:rFonts w:cs="Arial"/>
          <w:i/>
          <w:spacing w:val="3"/>
          <w:sz w:val="24"/>
          <w:szCs w:val="24"/>
        </w:rPr>
      </w:pPr>
      <w:r>
        <w:rPr>
          <w:rFonts w:cs="Arial"/>
          <w:i/>
          <w:spacing w:val="3"/>
          <w:sz w:val="24"/>
          <w:szCs w:val="24"/>
        </w:rPr>
        <w:t xml:space="preserve">To </w:t>
      </w:r>
      <w:r w:rsidR="003436E1">
        <w:rPr>
          <w:rFonts w:cs="Arial"/>
          <w:i/>
          <w:spacing w:val="3"/>
          <w:sz w:val="24"/>
          <w:szCs w:val="24"/>
        </w:rPr>
        <w:t xml:space="preserve">ensure </w:t>
      </w:r>
      <w:r w:rsidR="00B51F19">
        <w:rPr>
          <w:rFonts w:cs="Arial"/>
          <w:i/>
          <w:spacing w:val="3"/>
          <w:sz w:val="24"/>
          <w:szCs w:val="24"/>
        </w:rPr>
        <w:t xml:space="preserve">sufficient provision of services </w:t>
      </w:r>
      <w:r w:rsidR="001B0F8C">
        <w:rPr>
          <w:rFonts w:cs="Arial"/>
          <w:i/>
          <w:spacing w:val="3"/>
          <w:sz w:val="24"/>
          <w:szCs w:val="24"/>
        </w:rPr>
        <w:t>f</w:t>
      </w:r>
      <w:r w:rsidR="00B51F19">
        <w:rPr>
          <w:rFonts w:cs="Arial"/>
          <w:i/>
          <w:spacing w:val="3"/>
          <w:sz w:val="24"/>
          <w:szCs w:val="24"/>
        </w:rPr>
        <w:t>o</w:t>
      </w:r>
      <w:r w:rsidR="001B0F8C">
        <w:rPr>
          <w:rFonts w:cs="Arial"/>
          <w:i/>
          <w:spacing w:val="3"/>
          <w:sz w:val="24"/>
          <w:szCs w:val="24"/>
        </w:rPr>
        <w:t>r</w:t>
      </w:r>
      <w:r w:rsidR="00B51F19">
        <w:rPr>
          <w:rFonts w:cs="Arial"/>
          <w:i/>
          <w:spacing w:val="3"/>
          <w:sz w:val="24"/>
          <w:szCs w:val="24"/>
        </w:rPr>
        <w:t xml:space="preserve"> survivors in the community</w:t>
      </w:r>
      <w:r>
        <w:rPr>
          <w:rFonts w:cs="Arial"/>
          <w:i/>
          <w:spacing w:val="3"/>
          <w:sz w:val="24"/>
          <w:szCs w:val="24"/>
        </w:rPr>
        <w:t xml:space="preserve"> </w:t>
      </w:r>
    </w:p>
    <w:p w14:paraId="67ADE658" w14:textId="4808845D" w:rsidR="00B80EE9" w:rsidRDefault="0036651B" w:rsidP="00340C4F">
      <w:pPr>
        <w:spacing w:after="360" w:line="360" w:lineRule="auto"/>
        <w:rPr>
          <w:rFonts w:cs="Arial"/>
          <w:spacing w:val="3"/>
          <w:szCs w:val="24"/>
        </w:rPr>
      </w:pPr>
      <w:r>
        <w:rPr>
          <w:rFonts w:cs="Arial"/>
          <w:spacing w:val="3"/>
          <w:szCs w:val="24"/>
        </w:rPr>
        <w:t xml:space="preserve">During the Commons stages, the Government introduced a </w:t>
      </w:r>
      <w:r w:rsidR="00B80EE9" w:rsidRPr="00D52B34">
        <w:rPr>
          <w:rFonts w:cs="Arial"/>
          <w:spacing w:val="3"/>
          <w:szCs w:val="24"/>
        </w:rPr>
        <w:t xml:space="preserve">statutory duty on local authorities to provide accommodation-based </w:t>
      </w:r>
      <w:r w:rsidR="000958AC">
        <w:rPr>
          <w:rFonts w:cs="Arial"/>
          <w:spacing w:val="3"/>
          <w:szCs w:val="24"/>
        </w:rPr>
        <w:t xml:space="preserve">domestic abuse </w:t>
      </w:r>
      <w:r w:rsidR="00B80EE9" w:rsidRPr="00D52B34">
        <w:rPr>
          <w:rFonts w:cs="Arial"/>
          <w:spacing w:val="3"/>
          <w:szCs w:val="24"/>
        </w:rPr>
        <w:t>services</w:t>
      </w:r>
      <w:r w:rsidR="000E5877">
        <w:rPr>
          <w:rFonts w:cs="Arial"/>
          <w:spacing w:val="3"/>
          <w:szCs w:val="24"/>
        </w:rPr>
        <w:t>.</w:t>
      </w:r>
      <w:r w:rsidR="006E4954">
        <w:rPr>
          <w:rFonts w:cs="Arial"/>
          <w:spacing w:val="3"/>
          <w:szCs w:val="24"/>
        </w:rPr>
        <w:t xml:space="preserve"> </w:t>
      </w:r>
      <w:r w:rsidR="00485191" w:rsidRPr="00485191">
        <w:rPr>
          <w:rFonts w:cs="Arial"/>
          <w:spacing w:val="3"/>
          <w:szCs w:val="24"/>
        </w:rPr>
        <w:t>This is a welcome step forward</w:t>
      </w:r>
      <w:r w:rsidR="006E4954">
        <w:rPr>
          <w:rFonts w:cs="Arial"/>
          <w:spacing w:val="3"/>
          <w:szCs w:val="24"/>
        </w:rPr>
        <w:t xml:space="preserve">. </w:t>
      </w:r>
      <w:r w:rsidR="000E5877">
        <w:rPr>
          <w:rFonts w:cs="Arial"/>
          <w:spacing w:val="3"/>
          <w:szCs w:val="24"/>
        </w:rPr>
        <w:t>H</w:t>
      </w:r>
      <w:r w:rsidR="00B80EE9" w:rsidRPr="00D52B34">
        <w:rPr>
          <w:rFonts w:cs="Arial"/>
          <w:spacing w:val="3"/>
          <w:szCs w:val="24"/>
        </w:rPr>
        <w:t xml:space="preserve">owever, this is a narrow duty </w:t>
      </w:r>
      <w:r w:rsidR="00B80EE9">
        <w:rPr>
          <w:rFonts w:cs="Arial"/>
          <w:spacing w:val="3"/>
          <w:szCs w:val="24"/>
        </w:rPr>
        <w:t xml:space="preserve">that </w:t>
      </w:r>
      <w:r w:rsidR="00452CAE">
        <w:rPr>
          <w:rFonts w:cs="Arial"/>
          <w:spacing w:val="3"/>
          <w:szCs w:val="24"/>
        </w:rPr>
        <w:t xml:space="preserve">only assists survivors in </w:t>
      </w:r>
      <w:r w:rsidR="00647D87">
        <w:rPr>
          <w:rFonts w:cs="Arial"/>
          <w:spacing w:val="3"/>
          <w:szCs w:val="24"/>
        </w:rPr>
        <w:t>refuges or other safe accommodation</w:t>
      </w:r>
      <w:r w:rsidR="00452CAE">
        <w:rPr>
          <w:rFonts w:cs="Arial"/>
          <w:spacing w:val="3"/>
          <w:szCs w:val="24"/>
        </w:rPr>
        <w:t xml:space="preserve"> and </w:t>
      </w:r>
      <w:r w:rsidR="00B80EE9">
        <w:rPr>
          <w:rFonts w:cs="Arial"/>
          <w:spacing w:val="3"/>
          <w:szCs w:val="24"/>
        </w:rPr>
        <w:t>does not address the need</w:t>
      </w:r>
      <w:r w:rsidR="00F142D8">
        <w:rPr>
          <w:rFonts w:cs="Arial"/>
          <w:spacing w:val="3"/>
          <w:szCs w:val="24"/>
        </w:rPr>
        <w:t>s of the majority (</w:t>
      </w:r>
      <w:r w:rsidR="00B65ECE">
        <w:rPr>
          <w:rFonts w:cs="Arial"/>
          <w:spacing w:val="3"/>
          <w:szCs w:val="24"/>
        </w:rPr>
        <w:t>70%</w:t>
      </w:r>
      <w:r w:rsidR="00F142D8">
        <w:rPr>
          <w:rFonts w:cs="Arial"/>
          <w:spacing w:val="3"/>
          <w:szCs w:val="24"/>
        </w:rPr>
        <w:t>)</w:t>
      </w:r>
      <w:r w:rsidR="002F63FB">
        <w:rPr>
          <w:rFonts w:cs="Arial"/>
          <w:spacing w:val="3"/>
          <w:szCs w:val="24"/>
        </w:rPr>
        <w:t xml:space="preserve"> </w:t>
      </w:r>
      <w:r w:rsidR="00B65ECE">
        <w:rPr>
          <w:rFonts w:cs="Arial"/>
          <w:spacing w:val="3"/>
          <w:szCs w:val="24"/>
        </w:rPr>
        <w:t>of survivors who seek help for domestic abuse in the community.</w:t>
      </w:r>
      <w:r w:rsidR="00B65ECE">
        <w:rPr>
          <w:rStyle w:val="FootnoteReference"/>
          <w:rFonts w:cs="Arial"/>
          <w:spacing w:val="3"/>
          <w:szCs w:val="24"/>
        </w:rPr>
        <w:footnoteReference w:id="3"/>
      </w:r>
      <w:r w:rsidR="00B65ECE">
        <w:rPr>
          <w:rFonts w:cs="Arial"/>
          <w:spacing w:val="3"/>
          <w:szCs w:val="24"/>
        </w:rPr>
        <w:t xml:space="preserve"> </w:t>
      </w:r>
      <w:r w:rsidR="00A22663">
        <w:rPr>
          <w:rFonts w:cs="Arial"/>
          <w:spacing w:val="3"/>
          <w:szCs w:val="24"/>
        </w:rPr>
        <w:t xml:space="preserve"> </w:t>
      </w:r>
    </w:p>
    <w:p w14:paraId="156AB2A3" w14:textId="45C8FD18" w:rsidR="006016E1" w:rsidRDefault="00247426" w:rsidP="00340C4F">
      <w:pPr>
        <w:spacing w:after="360" w:line="360" w:lineRule="auto"/>
        <w:rPr>
          <w:rFonts w:cs="Arial"/>
          <w:spacing w:val="3"/>
          <w:szCs w:val="24"/>
        </w:rPr>
      </w:pPr>
      <w:r>
        <w:rPr>
          <w:rFonts w:cs="Arial"/>
          <w:spacing w:val="3"/>
          <w:szCs w:val="24"/>
        </w:rPr>
        <w:t>The Government has acknowledged the importance</w:t>
      </w:r>
      <w:r w:rsidR="007376AD">
        <w:rPr>
          <w:rFonts w:cs="Arial"/>
          <w:spacing w:val="3"/>
          <w:szCs w:val="24"/>
        </w:rPr>
        <w:t xml:space="preserve"> of community-based services</w:t>
      </w:r>
      <w:r w:rsidR="00110D81">
        <w:rPr>
          <w:rStyle w:val="FootnoteReference"/>
          <w:rFonts w:cs="Arial"/>
          <w:spacing w:val="3"/>
          <w:szCs w:val="24"/>
        </w:rPr>
        <w:footnoteReference w:id="4"/>
      </w:r>
      <w:r w:rsidR="00110D81">
        <w:rPr>
          <w:rFonts w:cs="Arial"/>
          <w:spacing w:val="3"/>
          <w:szCs w:val="24"/>
        </w:rPr>
        <w:t xml:space="preserve"> </w:t>
      </w:r>
      <w:r>
        <w:rPr>
          <w:rFonts w:cs="Arial"/>
          <w:spacing w:val="3"/>
          <w:szCs w:val="24"/>
        </w:rPr>
        <w:t xml:space="preserve">and </w:t>
      </w:r>
      <w:r w:rsidR="000958AC">
        <w:rPr>
          <w:rFonts w:cs="Arial"/>
          <w:spacing w:val="3"/>
          <w:szCs w:val="24"/>
        </w:rPr>
        <w:t>efforts</w:t>
      </w:r>
      <w:r w:rsidR="0058262B">
        <w:rPr>
          <w:rFonts w:cs="Arial"/>
          <w:spacing w:val="3"/>
          <w:szCs w:val="24"/>
        </w:rPr>
        <w:t xml:space="preserve"> </w:t>
      </w:r>
      <w:r w:rsidR="004E6A85">
        <w:rPr>
          <w:rFonts w:cs="Arial"/>
          <w:spacing w:val="3"/>
          <w:szCs w:val="24"/>
        </w:rPr>
        <w:t>to</w:t>
      </w:r>
      <w:r w:rsidR="0058262B">
        <w:rPr>
          <w:rFonts w:cs="Arial"/>
          <w:spacing w:val="3"/>
          <w:szCs w:val="24"/>
        </w:rPr>
        <w:t xml:space="preserve"> </w:t>
      </w:r>
      <w:r w:rsidR="006C7A30">
        <w:rPr>
          <w:rFonts w:cs="Arial"/>
          <w:spacing w:val="3"/>
          <w:szCs w:val="24"/>
        </w:rPr>
        <w:t>keep survivors and their children</w:t>
      </w:r>
      <w:r>
        <w:rPr>
          <w:rFonts w:cs="Arial"/>
          <w:spacing w:val="3"/>
          <w:szCs w:val="24"/>
        </w:rPr>
        <w:t xml:space="preserve"> safe</w:t>
      </w:r>
      <w:r w:rsidR="006C7A30">
        <w:rPr>
          <w:rFonts w:cs="Arial"/>
          <w:spacing w:val="3"/>
          <w:szCs w:val="24"/>
        </w:rPr>
        <w:t xml:space="preserve"> in their</w:t>
      </w:r>
      <w:r w:rsidR="0058262B">
        <w:rPr>
          <w:rFonts w:cs="Arial"/>
          <w:spacing w:val="3"/>
          <w:szCs w:val="24"/>
        </w:rPr>
        <w:t xml:space="preserve"> own</w:t>
      </w:r>
      <w:r w:rsidR="006C7A30">
        <w:rPr>
          <w:rFonts w:cs="Arial"/>
          <w:spacing w:val="3"/>
          <w:szCs w:val="24"/>
        </w:rPr>
        <w:t xml:space="preserve"> homes</w:t>
      </w:r>
      <w:r w:rsidR="006C7A30">
        <w:rPr>
          <w:rStyle w:val="FootnoteReference"/>
          <w:rFonts w:cs="Arial"/>
          <w:spacing w:val="3"/>
          <w:szCs w:val="24"/>
        </w:rPr>
        <w:footnoteReference w:id="5"/>
      </w:r>
      <w:r w:rsidR="00CF11C6">
        <w:rPr>
          <w:rFonts w:cs="Arial"/>
          <w:spacing w:val="3"/>
          <w:szCs w:val="24"/>
        </w:rPr>
        <w:t xml:space="preserve"> </w:t>
      </w:r>
      <w:r w:rsidR="00392B34">
        <w:rPr>
          <w:rFonts w:cs="Arial"/>
          <w:spacing w:val="3"/>
          <w:szCs w:val="24"/>
        </w:rPr>
        <w:t xml:space="preserve"> but </w:t>
      </w:r>
      <w:r w:rsidR="0058262B">
        <w:rPr>
          <w:rFonts w:cs="Arial"/>
          <w:spacing w:val="3"/>
          <w:szCs w:val="24"/>
        </w:rPr>
        <w:t xml:space="preserve">has asserted </w:t>
      </w:r>
      <w:r w:rsidR="00833C40">
        <w:rPr>
          <w:rFonts w:cs="Arial"/>
          <w:spacing w:val="3"/>
          <w:szCs w:val="24"/>
        </w:rPr>
        <w:t>that a review of existing services led by the Domestic Abuse Commissioner is necessary</w:t>
      </w:r>
      <w:r w:rsidR="0058262B">
        <w:rPr>
          <w:rFonts w:cs="Arial"/>
          <w:spacing w:val="3"/>
          <w:szCs w:val="24"/>
        </w:rPr>
        <w:t xml:space="preserve"> before any wider duty covering community-based </w:t>
      </w:r>
      <w:r w:rsidR="0058262B">
        <w:rPr>
          <w:rFonts w:cs="Arial"/>
          <w:spacing w:val="3"/>
          <w:szCs w:val="24"/>
        </w:rPr>
        <w:lastRenderedPageBreak/>
        <w:t>services can be considered</w:t>
      </w:r>
      <w:r w:rsidR="00833C40">
        <w:rPr>
          <w:rFonts w:cs="Arial"/>
          <w:spacing w:val="3"/>
          <w:szCs w:val="24"/>
        </w:rPr>
        <w:t xml:space="preserve">. </w:t>
      </w:r>
      <w:r w:rsidR="0090689A">
        <w:rPr>
          <w:rFonts w:cs="Arial"/>
          <w:spacing w:val="3"/>
          <w:szCs w:val="24"/>
        </w:rPr>
        <w:t xml:space="preserve"> However, the</w:t>
      </w:r>
      <w:r w:rsidR="0058262B">
        <w:rPr>
          <w:rFonts w:cs="Arial"/>
          <w:spacing w:val="3"/>
          <w:szCs w:val="24"/>
        </w:rPr>
        <w:t xml:space="preserve"> Domestic Abuse Commissioner has advised</w:t>
      </w:r>
      <w:r w:rsidR="00E96514">
        <w:rPr>
          <w:rFonts w:cs="Arial"/>
          <w:spacing w:val="3"/>
          <w:szCs w:val="24"/>
        </w:rPr>
        <w:t>:</w:t>
      </w:r>
    </w:p>
    <w:p w14:paraId="3953C393" w14:textId="77777777" w:rsidR="00E96514" w:rsidRDefault="00E96514" w:rsidP="00D73FAA">
      <w:pPr>
        <w:spacing w:after="360" w:line="360" w:lineRule="auto"/>
        <w:ind w:left="360"/>
        <w:rPr>
          <w:rFonts w:cs="Arial"/>
          <w:spacing w:val="3"/>
          <w:szCs w:val="24"/>
        </w:rPr>
      </w:pPr>
      <w:r>
        <w:rPr>
          <w:rFonts w:cs="Arial"/>
          <w:spacing w:val="3"/>
          <w:szCs w:val="24"/>
        </w:rPr>
        <w:t>“</w:t>
      </w:r>
      <w:r w:rsidR="001225AC" w:rsidRPr="001225AC">
        <w:rPr>
          <w:rFonts w:cs="Arial"/>
          <w:spacing w:val="3"/>
          <w:szCs w:val="24"/>
        </w:rPr>
        <w:t>In order to address the breadth of domestic abuse services, the statutory duty must encompass those community-based services that are accessed by the majority of victims, survivors and their children, and must also include quality provision for perpetrators. I have very real concerns about Local Authorities redistributing their funding simply to meet the statutory duty, and therefore deprioritising those critical community-based services that can intervene earlier and prevent a survivor from being forced to flee to a refuge. There is already ample evidence to support this, and while my mapping work may well add to this evidence base, it is wholly unnecessary for Parliament to wait for it to complete before considering this issue</w:t>
      </w:r>
      <w:r w:rsidRPr="00A77F27">
        <w:rPr>
          <w:rFonts w:cs="Arial"/>
          <w:spacing w:val="3"/>
          <w:szCs w:val="24"/>
        </w:rPr>
        <w:t>.”</w:t>
      </w:r>
      <w:r w:rsidRPr="00A77F27">
        <w:rPr>
          <w:rStyle w:val="FootnoteReference"/>
          <w:rFonts w:cs="Arial"/>
          <w:spacing w:val="3"/>
          <w:szCs w:val="24"/>
        </w:rPr>
        <w:footnoteReference w:id="6"/>
      </w:r>
    </w:p>
    <w:p w14:paraId="5D82A642" w14:textId="541DF6E5" w:rsidR="0036651B" w:rsidRDefault="0036651B" w:rsidP="00203940">
      <w:pPr>
        <w:spacing w:after="360" w:line="360" w:lineRule="auto"/>
        <w:rPr>
          <w:rFonts w:cs="Arial"/>
          <w:spacing w:val="3"/>
          <w:szCs w:val="24"/>
        </w:rPr>
      </w:pPr>
      <w:r>
        <w:rPr>
          <w:rFonts w:cs="Arial"/>
          <w:spacing w:val="3"/>
          <w:szCs w:val="24"/>
        </w:rPr>
        <w:t>We are</w:t>
      </w:r>
      <w:r w:rsidR="004C3C36">
        <w:rPr>
          <w:rFonts w:cs="Arial"/>
          <w:spacing w:val="3"/>
          <w:szCs w:val="24"/>
        </w:rPr>
        <w:t xml:space="preserve"> also</w:t>
      </w:r>
      <w:r>
        <w:rPr>
          <w:rFonts w:cs="Arial"/>
          <w:spacing w:val="3"/>
          <w:szCs w:val="24"/>
        </w:rPr>
        <w:t xml:space="preserve"> concerned there is a risk that a narrow duty to provide accommodation-based services only could incentivise local authorities with limited resources to divert vital funds away from services provided in the community (such as </w:t>
      </w:r>
      <w:r w:rsidRPr="00340C4F">
        <w:rPr>
          <w:rFonts w:cs="Arial"/>
          <w:spacing w:val="3"/>
          <w:szCs w:val="24"/>
        </w:rPr>
        <w:t>advocacy, IDVA and outreach</w:t>
      </w:r>
      <w:r>
        <w:rPr>
          <w:rFonts w:cs="Arial"/>
          <w:spacing w:val="3"/>
          <w:szCs w:val="24"/>
        </w:rPr>
        <w:t xml:space="preserve"> services, and</w:t>
      </w:r>
      <w:r w:rsidRPr="00340C4F">
        <w:rPr>
          <w:rFonts w:cs="Arial"/>
          <w:spacing w:val="3"/>
          <w:szCs w:val="24"/>
        </w:rPr>
        <w:t xml:space="preserve"> dedicated children’s services</w:t>
      </w:r>
      <w:r>
        <w:rPr>
          <w:rFonts w:cs="Arial"/>
          <w:spacing w:val="3"/>
          <w:szCs w:val="24"/>
        </w:rPr>
        <w:t>) to meet the new duty.</w:t>
      </w:r>
    </w:p>
    <w:p w14:paraId="1E9CBEB7" w14:textId="273017F1" w:rsidR="00F13E57" w:rsidRPr="00F13E57" w:rsidRDefault="0090689A" w:rsidP="00F13E57">
      <w:pPr>
        <w:spacing w:after="360" w:line="360" w:lineRule="auto"/>
        <w:rPr>
          <w:rFonts w:cs="Arial"/>
          <w:spacing w:val="3"/>
          <w:szCs w:val="24"/>
        </w:rPr>
      </w:pPr>
      <w:r w:rsidRPr="00F13E57">
        <w:rPr>
          <w:rFonts w:cs="Arial"/>
          <w:spacing w:val="3"/>
          <w:szCs w:val="24"/>
        </w:rPr>
        <w:t xml:space="preserve">We </w:t>
      </w:r>
      <w:r w:rsidR="000C5CA5" w:rsidRPr="00F13E57">
        <w:rPr>
          <w:rFonts w:cs="Arial"/>
          <w:spacing w:val="3"/>
          <w:szCs w:val="24"/>
        </w:rPr>
        <w:t xml:space="preserve">therefore </w:t>
      </w:r>
      <w:r w:rsidRPr="00F13E57">
        <w:rPr>
          <w:rFonts w:cs="Arial"/>
          <w:spacing w:val="3"/>
          <w:szCs w:val="24"/>
        </w:rPr>
        <w:t xml:space="preserve">recommend </w:t>
      </w:r>
      <w:r w:rsidR="0036651B" w:rsidRPr="00F13E57">
        <w:rPr>
          <w:rFonts w:cs="Arial"/>
          <w:spacing w:val="3"/>
          <w:szCs w:val="24"/>
        </w:rPr>
        <w:t xml:space="preserve">that </w:t>
      </w:r>
      <w:r w:rsidR="00203940" w:rsidRPr="00F13E57">
        <w:rPr>
          <w:rFonts w:cs="Arial"/>
          <w:spacing w:val="3"/>
          <w:szCs w:val="24"/>
        </w:rPr>
        <w:t xml:space="preserve">a </w:t>
      </w:r>
      <w:r w:rsidRPr="00F13E57">
        <w:rPr>
          <w:rFonts w:cs="Arial"/>
          <w:spacing w:val="3"/>
          <w:szCs w:val="24"/>
        </w:rPr>
        <w:t xml:space="preserve">complementary </w:t>
      </w:r>
      <w:r w:rsidR="00203940" w:rsidRPr="00F13E57">
        <w:rPr>
          <w:rFonts w:cs="Arial"/>
          <w:spacing w:val="3"/>
          <w:szCs w:val="24"/>
        </w:rPr>
        <w:t xml:space="preserve">duty on public authorities to commission community-based services </w:t>
      </w:r>
      <w:r w:rsidR="001610F8" w:rsidRPr="00F13E57">
        <w:rPr>
          <w:rFonts w:cs="Arial"/>
          <w:spacing w:val="3"/>
          <w:szCs w:val="24"/>
        </w:rPr>
        <w:t xml:space="preserve">is vital </w:t>
      </w:r>
      <w:r w:rsidRPr="00F13E57">
        <w:rPr>
          <w:rFonts w:cs="Arial"/>
          <w:spacing w:val="3"/>
          <w:szCs w:val="24"/>
        </w:rPr>
        <w:t xml:space="preserve">to help </w:t>
      </w:r>
      <w:r w:rsidR="007E672B" w:rsidRPr="00F13E57">
        <w:rPr>
          <w:rFonts w:cs="Arial"/>
          <w:spacing w:val="3"/>
          <w:szCs w:val="24"/>
        </w:rPr>
        <w:t xml:space="preserve">survivors </w:t>
      </w:r>
      <w:r w:rsidR="00D253CC" w:rsidRPr="00F13E57">
        <w:rPr>
          <w:rFonts w:cs="Arial"/>
          <w:spacing w:val="3"/>
          <w:szCs w:val="24"/>
        </w:rPr>
        <w:t>and their children</w:t>
      </w:r>
      <w:r w:rsidRPr="00F13E57">
        <w:rPr>
          <w:rFonts w:cs="Arial"/>
          <w:spacing w:val="3"/>
          <w:szCs w:val="24"/>
        </w:rPr>
        <w:t xml:space="preserve">  </w:t>
      </w:r>
      <w:r w:rsidR="00D253CC" w:rsidRPr="00F13E57">
        <w:rPr>
          <w:rFonts w:cs="Arial"/>
          <w:spacing w:val="3"/>
          <w:szCs w:val="24"/>
        </w:rPr>
        <w:t>remain safely in their</w:t>
      </w:r>
      <w:r w:rsidR="007E672B" w:rsidRPr="00F13E57">
        <w:rPr>
          <w:rFonts w:cs="Arial"/>
          <w:spacing w:val="3"/>
          <w:szCs w:val="24"/>
        </w:rPr>
        <w:t xml:space="preserve"> home</w:t>
      </w:r>
      <w:r w:rsidR="00D253CC" w:rsidRPr="00F13E57">
        <w:rPr>
          <w:rFonts w:cs="Arial"/>
          <w:spacing w:val="3"/>
          <w:szCs w:val="24"/>
        </w:rPr>
        <w:t>s</w:t>
      </w:r>
      <w:r w:rsidRPr="00F13E57">
        <w:rPr>
          <w:rFonts w:cs="Arial"/>
          <w:spacing w:val="3"/>
          <w:szCs w:val="24"/>
        </w:rPr>
        <w:t xml:space="preserve"> </w:t>
      </w:r>
      <w:r w:rsidR="001610F8" w:rsidRPr="00F13E57">
        <w:rPr>
          <w:rFonts w:cs="Arial"/>
          <w:spacing w:val="3"/>
          <w:szCs w:val="24"/>
        </w:rPr>
        <w:t xml:space="preserve">and the community </w:t>
      </w:r>
      <w:r w:rsidRPr="00F13E57">
        <w:rPr>
          <w:rFonts w:cs="Arial"/>
          <w:spacing w:val="3"/>
          <w:szCs w:val="24"/>
        </w:rPr>
        <w:t>where</w:t>
      </w:r>
      <w:r w:rsidR="000C5CA5" w:rsidRPr="00F13E57">
        <w:rPr>
          <w:rFonts w:cs="Arial"/>
          <w:spacing w:val="3"/>
          <w:szCs w:val="24"/>
        </w:rPr>
        <w:t>ver</w:t>
      </w:r>
      <w:r w:rsidRPr="00F13E57">
        <w:rPr>
          <w:rFonts w:cs="Arial"/>
          <w:spacing w:val="3"/>
          <w:szCs w:val="24"/>
        </w:rPr>
        <w:t xml:space="preserve"> possible.</w:t>
      </w:r>
      <w:r w:rsidR="007E672B" w:rsidRPr="00F13E57">
        <w:rPr>
          <w:rFonts w:cs="Arial"/>
          <w:spacing w:val="3"/>
          <w:szCs w:val="24"/>
        </w:rPr>
        <w:t xml:space="preserve"> </w:t>
      </w:r>
      <w:r w:rsidR="00D06733" w:rsidRPr="00F13E57">
        <w:rPr>
          <w:rFonts w:cs="Arial"/>
          <w:spacing w:val="3"/>
          <w:szCs w:val="24"/>
        </w:rPr>
        <w:t>Allowing a survivor to stay safely in their home causes less disruption to the family’s circumstances. It</w:t>
      </w:r>
      <w:r w:rsidR="009E5F8F">
        <w:rPr>
          <w:rFonts w:cs="Arial"/>
          <w:spacing w:val="3"/>
          <w:szCs w:val="24"/>
        </w:rPr>
        <w:t xml:space="preserve"> allows</w:t>
      </w:r>
      <w:r w:rsidR="00D06733" w:rsidRPr="00F13E57">
        <w:rPr>
          <w:rFonts w:cs="Arial"/>
          <w:spacing w:val="3"/>
          <w:szCs w:val="24"/>
        </w:rPr>
        <w:t xml:space="preserve"> them to stay near support networks, schools and jobs, as well as helping to prevent homelessness.</w:t>
      </w:r>
      <w:r w:rsidR="00D06733">
        <w:rPr>
          <w:rStyle w:val="FootnoteReference"/>
          <w:rFonts w:cs="Arial"/>
          <w:spacing w:val="3"/>
          <w:szCs w:val="24"/>
        </w:rPr>
        <w:footnoteReference w:id="7"/>
      </w:r>
    </w:p>
    <w:p w14:paraId="0DBBB5CC" w14:textId="1E542F06" w:rsidR="00A77F27" w:rsidRPr="00F13E57" w:rsidRDefault="00A77F27" w:rsidP="00F13E57">
      <w:pPr>
        <w:pStyle w:val="ListParagraph"/>
        <w:numPr>
          <w:ilvl w:val="0"/>
          <w:numId w:val="16"/>
        </w:numPr>
        <w:spacing w:after="360" w:line="360" w:lineRule="auto"/>
        <w:rPr>
          <w:rFonts w:cs="Arial"/>
          <w:spacing w:val="3"/>
          <w:sz w:val="24"/>
          <w:szCs w:val="24"/>
        </w:rPr>
      </w:pPr>
      <w:r w:rsidRPr="00F13E57">
        <w:rPr>
          <w:rFonts w:cs="Arial"/>
          <w:i/>
          <w:spacing w:val="3"/>
          <w:sz w:val="24"/>
          <w:szCs w:val="24"/>
        </w:rPr>
        <w:t>To ensure sufficient specialist services</w:t>
      </w:r>
      <w:r w:rsidR="000958AC" w:rsidRPr="00F13E57">
        <w:rPr>
          <w:rFonts w:cs="Arial"/>
          <w:i/>
          <w:spacing w:val="3"/>
          <w:sz w:val="24"/>
          <w:szCs w:val="24"/>
        </w:rPr>
        <w:t xml:space="preserve"> are available</w:t>
      </w:r>
      <w:r w:rsidRPr="00F13E57">
        <w:rPr>
          <w:rFonts w:cs="Arial"/>
          <w:i/>
          <w:spacing w:val="3"/>
          <w:sz w:val="24"/>
          <w:szCs w:val="24"/>
        </w:rPr>
        <w:t xml:space="preserve"> </w:t>
      </w:r>
      <w:r w:rsidR="000D1E5B" w:rsidRPr="00F13E57">
        <w:rPr>
          <w:rFonts w:cs="Arial"/>
          <w:i/>
          <w:spacing w:val="3"/>
          <w:sz w:val="24"/>
          <w:szCs w:val="24"/>
        </w:rPr>
        <w:t>for all survivors</w:t>
      </w:r>
    </w:p>
    <w:p w14:paraId="753A1438" w14:textId="556F7FE6" w:rsidR="00981A7F" w:rsidRDefault="00B16701" w:rsidP="00D73FAA">
      <w:pPr>
        <w:spacing w:after="240" w:line="360" w:lineRule="auto"/>
        <w:rPr>
          <w:rFonts w:cs="Arial"/>
        </w:rPr>
      </w:pPr>
      <w:r>
        <w:rPr>
          <w:rFonts w:cs="Arial"/>
        </w:rPr>
        <w:t xml:space="preserve">We also recommend a statutory duty requiring provision of </w:t>
      </w:r>
      <w:r w:rsidR="00C92E1F">
        <w:rPr>
          <w:rFonts w:cs="Arial"/>
        </w:rPr>
        <w:t xml:space="preserve">sufficient specialist services </w:t>
      </w:r>
      <w:r w:rsidR="00AC0858" w:rsidRPr="000B2621">
        <w:rPr>
          <w:rFonts w:cs="Arial"/>
        </w:rPr>
        <w:t>for</w:t>
      </w:r>
      <w:r w:rsidR="004F56B7">
        <w:rPr>
          <w:rFonts w:cs="Arial"/>
        </w:rPr>
        <w:t xml:space="preserve"> survivors sharing protected characteristics, particularly</w:t>
      </w:r>
      <w:r w:rsidR="00AC0858" w:rsidRPr="000B2621">
        <w:rPr>
          <w:rFonts w:cs="Arial"/>
        </w:rPr>
        <w:t xml:space="preserve"> ethnic minority, </w:t>
      </w:r>
      <w:r w:rsidR="00AC0858" w:rsidRPr="000B2621">
        <w:rPr>
          <w:rFonts w:cs="Arial"/>
        </w:rPr>
        <w:lastRenderedPageBreak/>
        <w:t>migrant, disabled,</w:t>
      </w:r>
      <w:r w:rsidR="00D616AF">
        <w:rPr>
          <w:rFonts w:cs="Arial"/>
        </w:rPr>
        <w:t xml:space="preserve"> and</w:t>
      </w:r>
      <w:r w:rsidR="00AC0858" w:rsidRPr="000B2621">
        <w:rPr>
          <w:rFonts w:cs="Arial"/>
        </w:rPr>
        <w:t xml:space="preserve"> LGBT</w:t>
      </w:r>
      <w:r w:rsidR="009B0FF0">
        <w:rPr>
          <w:rFonts w:cs="Arial"/>
        </w:rPr>
        <w:t xml:space="preserve"> </w:t>
      </w:r>
      <w:r w:rsidR="00D616AF">
        <w:rPr>
          <w:rFonts w:cs="Arial"/>
        </w:rPr>
        <w:t>survivors</w:t>
      </w:r>
      <w:r>
        <w:rPr>
          <w:rFonts w:cs="Arial"/>
        </w:rPr>
        <w:t>, as well as non-discrimination in the provision of services</w:t>
      </w:r>
      <w:r w:rsidR="00AC0858" w:rsidRPr="000B2621">
        <w:rPr>
          <w:rFonts w:cs="Arial"/>
        </w:rPr>
        <w:t xml:space="preserve">. </w:t>
      </w:r>
      <w:r w:rsidR="00D616AF">
        <w:rPr>
          <w:rFonts w:cs="Arial"/>
        </w:rPr>
        <w:t>Despite being disproportionately impacted by domestic abuse,</w:t>
      </w:r>
      <w:r w:rsidR="00D616AF">
        <w:rPr>
          <w:rStyle w:val="FootnoteReference"/>
          <w:rFonts w:cs="Arial"/>
        </w:rPr>
        <w:footnoteReference w:id="8"/>
      </w:r>
      <w:r w:rsidR="00D616AF">
        <w:rPr>
          <w:rFonts w:cs="Arial"/>
        </w:rPr>
        <w:t xml:space="preserve"> </w:t>
      </w:r>
      <w:r w:rsidR="009B552D">
        <w:rPr>
          <w:rFonts w:cs="Arial"/>
        </w:rPr>
        <w:t>t</w:t>
      </w:r>
      <w:r w:rsidR="00AC0858" w:rsidRPr="000B2621">
        <w:rPr>
          <w:rFonts w:cs="Arial"/>
        </w:rPr>
        <w:t xml:space="preserve">hese groups face </w:t>
      </w:r>
      <w:r w:rsidR="009B552D">
        <w:rPr>
          <w:rFonts w:cs="Arial"/>
        </w:rPr>
        <w:t>greater</w:t>
      </w:r>
      <w:r w:rsidR="009B552D" w:rsidRPr="000B2621">
        <w:rPr>
          <w:rFonts w:cs="Arial"/>
        </w:rPr>
        <w:t xml:space="preserve"> </w:t>
      </w:r>
      <w:r w:rsidR="00AC0858" w:rsidRPr="000B2621">
        <w:rPr>
          <w:rFonts w:cs="Arial"/>
        </w:rPr>
        <w:t xml:space="preserve">barriers to </w:t>
      </w:r>
      <w:r w:rsidR="00634438" w:rsidRPr="00634438">
        <w:rPr>
          <w:rFonts w:cs="Arial"/>
        </w:rPr>
        <w:t>reporting  abuse</w:t>
      </w:r>
      <w:r w:rsidR="000C5CA5">
        <w:rPr>
          <w:rFonts w:cs="Arial"/>
        </w:rPr>
        <w:t>,</w:t>
      </w:r>
      <w:r w:rsidR="00634438" w:rsidRPr="00634438">
        <w:rPr>
          <w:rFonts w:cs="Arial"/>
        </w:rPr>
        <w:t xml:space="preserve"> accessing support and engaging with the criminal justice system</w:t>
      </w:r>
      <w:r w:rsidR="00634438">
        <w:rPr>
          <w:rFonts w:cs="Arial"/>
        </w:rPr>
        <w:t>.</w:t>
      </w:r>
      <w:r w:rsidR="00634438">
        <w:rPr>
          <w:rStyle w:val="FootnoteReference"/>
          <w:rFonts w:cs="Arial"/>
        </w:rPr>
        <w:footnoteReference w:id="9"/>
      </w:r>
      <w:r w:rsidR="008631C9">
        <w:rPr>
          <w:rFonts w:cs="Arial"/>
        </w:rPr>
        <w:t xml:space="preserve"> </w:t>
      </w:r>
      <w:r>
        <w:rPr>
          <w:rFonts w:cs="Arial"/>
        </w:rPr>
        <w:t xml:space="preserve">And although </w:t>
      </w:r>
      <w:r w:rsidR="0036651B">
        <w:rPr>
          <w:rFonts w:cs="Arial"/>
        </w:rPr>
        <w:t>s</w:t>
      </w:r>
      <w:r w:rsidR="00981A7F">
        <w:rPr>
          <w:rFonts w:cs="Arial"/>
        </w:rPr>
        <w:t>pecialist services for these groups</w:t>
      </w:r>
      <w:r w:rsidR="0036651B">
        <w:rPr>
          <w:rFonts w:cs="Arial"/>
        </w:rPr>
        <w:t xml:space="preserve"> are vital</w:t>
      </w:r>
      <w:r w:rsidR="001C2CB8">
        <w:rPr>
          <w:rFonts w:cs="Arial"/>
        </w:rPr>
        <w:t xml:space="preserve"> in providing routes to support and safety</w:t>
      </w:r>
      <w:r w:rsidR="0036651B">
        <w:rPr>
          <w:rFonts w:cs="Arial"/>
        </w:rPr>
        <w:t>,</w:t>
      </w:r>
      <w:r w:rsidR="00893524">
        <w:rPr>
          <w:rStyle w:val="FootnoteReference"/>
          <w:rFonts w:cs="Arial"/>
        </w:rPr>
        <w:footnoteReference w:id="10"/>
      </w:r>
      <w:r w:rsidR="001B0955">
        <w:rPr>
          <w:rFonts w:cs="Arial"/>
        </w:rPr>
        <w:t xml:space="preserve"> </w:t>
      </w:r>
      <w:r w:rsidR="00981A7F">
        <w:rPr>
          <w:rFonts w:cs="Arial"/>
        </w:rPr>
        <w:t xml:space="preserve">they are poorly and precariously funded, and </w:t>
      </w:r>
      <w:r w:rsidR="000C5CA5">
        <w:rPr>
          <w:rFonts w:cs="Arial"/>
        </w:rPr>
        <w:t>scarce</w:t>
      </w:r>
      <w:r w:rsidR="00981A7F">
        <w:rPr>
          <w:rFonts w:cs="Arial"/>
        </w:rPr>
        <w:t>.</w:t>
      </w:r>
      <w:r w:rsidR="00981A7F">
        <w:rPr>
          <w:rStyle w:val="FootnoteReference"/>
          <w:rFonts w:cs="Arial"/>
        </w:rPr>
        <w:footnoteReference w:id="11"/>
      </w:r>
      <w:r w:rsidR="00981A7F">
        <w:rPr>
          <w:rFonts w:cs="Arial"/>
        </w:rPr>
        <w:t xml:space="preserve"> For example:</w:t>
      </w:r>
    </w:p>
    <w:p w14:paraId="5026A2A0" w14:textId="77777777" w:rsidR="00634438" w:rsidRPr="00316069" w:rsidRDefault="00981A7F" w:rsidP="005C7383">
      <w:pPr>
        <w:pStyle w:val="ListParagraph"/>
        <w:numPr>
          <w:ilvl w:val="0"/>
          <w:numId w:val="6"/>
        </w:numPr>
        <w:spacing w:after="240" w:line="360" w:lineRule="auto"/>
        <w:rPr>
          <w:rFonts w:cs="Arial"/>
          <w:szCs w:val="24"/>
        </w:rPr>
      </w:pPr>
      <w:r w:rsidRPr="00D351AB">
        <w:rPr>
          <w:rFonts w:cs="Arial"/>
          <w:sz w:val="24"/>
          <w:szCs w:val="24"/>
        </w:rPr>
        <w:t>while an average of 1 in 5 referrals to women’s refuges are declined due to lack of space,</w:t>
      </w:r>
      <w:r w:rsidRPr="00D351AB">
        <w:rPr>
          <w:sz w:val="24"/>
          <w:szCs w:val="24"/>
          <w:vertAlign w:val="superscript"/>
        </w:rPr>
        <w:footnoteReference w:id="12"/>
      </w:r>
      <w:r w:rsidRPr="00D351AB">
        <w:rPr>
          <w:rFonts w:cs="Arial"/>
          <w:sz w:val="24"/>
          <w:szCs w:val="24"/>
        </w:rPr>
        <w:t xml:space="preserve"> this number rises to nearly 4 in 5 </w:t>
      </w:r>
      <w:r w:rsidR="006C26CD">
        <w:rPr>
          <w:rFonts w:cs="Arial"/>
          <w:sz w:val="24"/>
          <w:szCs w:val="24"/>
        </w:rPr>
        <w:t>for</w:t>
      </w:r>
      <w:r w:rsidRPr="00D351AB">
        <w:rPr>
          <w:rFonts w:cs="Arial"/>
          <w:sz w:val="24"/>
          <w:szCs w:val="24"/>
        </w:rPr>
        <w:t xml:space="preserve"> ethnic minority survivors.</w:t>
      </w:r>
      <w:r w:rsidRPr="00D351AB">
        <w:rPr>
          <w:sz w:val="24"/>
          <w:szCs w:val="24"/>
          <w:vertAlign w:val="superscript"/>
        </w:rPr>
        <w:footnoteReference w:id="13"/>
      </w:r>
    </w:p>
    <w:p w14:paraId="7539BEBF" w14:textId="77777777" w:rsidR="00981A7F" w:rsidRPr="00316069" w:rsidRDefault="00981A7F" w:rsidP="005C7383">
      <w:pPr>
        <w:pStyle w:val="ListParagraph"/>
        <w:numPr>
          <w:ilvl w:val="0"/>
          <w:numId w:val="6"/>
        </w:numPr>
        <w:spacing w:after="240" w:line="360" w:lineRule="auto"/>
        <w:rPr>
          <w:rFonts w:cs="Arial"/>
          <w:szCs w:val="24"/>
        </w:rPr>
      </w:pPr>
      <w:r w:rsidRPr="00D351AB">
        <w:rPr>
          <w:rFonts w:cs="Arial"/>
          <w:sz w:val="24"/>
          <w:szCs w:val="24"/>
        </w:rPr>
        <w:t>there were only six voluntary sector providers of LGBT specialist support in England in 2019.</w:t>
      </w:r>
      <w:r w:rsidRPr="00D351AB">
        <w:rPr>
          <w:sz w:val="24"/>
          <w:szCs w:val="24"/>
          <w:vertAlign w:val="superscript"/>
        </w:rPr>
        <w:footnoteReference w:id="14"/>
      </w:r>
    </w:p>
    <w:p w14:paraId="4357916F" w14:textId="77777777" w:rsidR="00981A7F" w:rsidRPr="00316069" w:rsidRDefault="00981A7F" w:rsidP="005C7383">
      <w:pPr>
        <w:pStyle w:val="ListParagraph"/>
        <w:numPr>
          <w:ilvl w:val="0"/>
          <w:numId w:val="6"/>
        </w:numPr>
        <w:spacing w:after="240" w:line="360" w:lineRule="auto"/>
        <w:rPr>
          <w:rFonts w:cs="Arial"/>
          <w:szCs w:val="24"/>
        </w:rPr>
      </w:pPr>
      <w:r w:rsidRPr="00D351AB">
        <w:rPr>
          <w:rFonts w:cs="Arial"/>
          <w:sz w:val="24"/>
          <w:szCs w:val="24"/>
        </w:rPr>
        <w:t>only 38% of domestic abuse services offer some form of specialist service to disabled women,</w:t>
      </w:r>
      <w:r w:rsidRPr="00D351AB">
        <w:rPr>
          <w:sz w:val="24"/>
          <w:szCs w:val="24"/>
          <w:vertAlign w:val="superscript"/>
        </w:rPr>
        <w:footnoteReference w:id="15"/>
      </w:r>
      <w:r w:rsidRPr="00D351AB">
        <w:rPr>
          <w:rFonts w:cs="Arial"/>
          <w:sz w:val="24"/>
          <w:szCs w:val="24"/>
        </w:rPr>
        <w:t xml:space="preserve"> and there are only two specialist disabled domestic abuse providers in England and Wales.</w:t>
      </w:r>
      <w:r w:rsidRPr="00D351AB">
        <w:rPr>
          <w:sz w:val="24"/>
          <w:szCs w:val="24"/>
          <w:vertAlign w:val="superscript"/>
        </w:rPr>
        <w:footnoteReference w:id="16"/>
      </w:r>
    </w:p>
    <w:p w14:paraId="11732678" w14:textId="77777777" w:rsidR="00AC0858" w:rsidRDefault="006C26CD" w:rsidP="00D73FAA">
      <w:pPr>
        <w:spacing w:after="240" w:line="360" w:lineRule="auto"/>
        <w:rPr>
          <w:rFonts w:cs="Arial"/>
        </w:rPr>
      </w:pPr>
      <w:r>
        <w:rPr>
          <w:rFonts w:cs="Arial"/>
        </w:rPr>
        <w:t xml:space="preserve">Older survivors also struggle to access support, with </w:t>
      </w:r>
      <w:r w:rsidR="000148F0">
        <w:rPr>
          <w:rFonts w:cs="Arial"/>
        </w:rPr>
        <w:t>Age UK report</w:t>
      </w:r>
      <w:r>
        <w:rPr>
          <w:rFonts w:cs="Arial"/>
        </w:rPr>
        <w:t>ing</w:t>
      </w:r>
      <w:r w:rsidR="000148F0">
        <w:rPr>
          <w:rFonts w:cs="Arial"/>
        </w:rPr>
        <w:t xml:space="preserve"> recently </w:t>
      </w:r>
      <w:r w:rsidR="000148F0" w:rsidRPr="000148F0">
        <w:rPr>
          <w:rFonts w:cs="Arial"/>
        </w:rPr>
        <w:t>how “very few older victims of domestic abuse are accessing any kind of professional support</w:t>
      </w:r>
      <w:r w:rsidR="009B0FF0">
        <w:rPr>
          <w:rFonts w:cs="Arial"/>
        </w:rPr>
        <w:t>.</w:t>
      </w:r>
      <w:r w:rsidR="00FF790F">
        <w:rPr>
          <w:rFonts w:cs="Arial"/>
        </w:rPr>
        <w:t>”</w:t>
      </w:r>
      <w:r w:rsidR="000148F0">
        <w:rPr>
          <w:rStyle w:val="FootnoteReference"/>
          <w:rFonts w:cs="Arial"/>
        </w:rPr>
        <w:footnoteReference w:id="17"/>
      </w:r>
      <w:r w:rsidR="004F56B7">
        <w:rPr>
          <w:rFonts w:cs="Arial"/>
        </w:rPr>
        <w:t xml:space="preserve"> </w:t>
      </w:r>
    </w:p>
    <w:p w14:paraId="14789220" w14:textId="1AE89B13" w:rsidR="00D73FAA" w:rsidRDefault="009B0FF0" w:rsidP="00D73FAA">
      <w:pPr>
        <w:spacing w:after="240" w:line="360" w:lineRule="auto"/>
        <w:rPr>
          <w:rFonts w:cs="Arial"/>
        </w:rPr>
      </w:pPr>
      <w:r>
        <w:rPr>
          <w:rFonts w:cs="Arial"/>
        </w:rPr>
        <w:t>Our</w:t>
      </w:r>
      <w:r w:rsidR="009B634E">
        <w:rPr>
          <w:rFonts w:cs="Arial"/>
        </w:rPr>
        <w:t xml:space="preserve"> </w:t>
      </w:r>
      <w:r w:rsidR="001B0955">
        <w:rPr>
          <w:rFonts w:cs="Arial"/>
        </w:rPr>
        <w:t xml:space="preserve">proposed </w:t>
      </w:r>
      <w:r w:rsidR="009B634E">
        <w:rPr>
          <w:rFonts w:cs="Arial"/>
        </w:rPr>
        <w:t>amendment would require</w:t>
      </w:r>
      <w:r w:rsidR="00D73FAA">
        <w:rPr>
          <w:rFonts w:cs="Arial"/>
        </w:rPr>
        <w:t xml:space="preserve"> provision of</w:t>
      </w:r>
      <w:r w:rsidR="009B634E">
        <w:rPr>
          <w:rFonts w:cs="Arial"/>
        </w:rPr>
        <w:t xml:space="preserve"> </w:t>
      </w:r>
      <w:r w:rsidR="006C26CD">
        <w:rPr>
          <w:rFonts w:cs="Arial"/>
        </w:rPr>
        <w:t xml:space="preserve">sufficient </w:t>
      </w:r>
      <w:r w:rsidR="009B634E">
        <w:rPr>
          <w:rFonts w:cs="Arial"/>
        </w:rPr>
        <w:t>appropriate</w:t>
      </w:r>
      <w:r w:rsidR="00D73FAA">
        <w:rPr>
          <w:rFonts w:cs="Arial"/>
        </w:rPr>
        <w:t xml:space="preserve"> specialist services to meet the needs of </w:t>
      </w:r>
      <w:r w:rsidR="001B0955">
        <w:t xml:space="preserve">all survivors, regardless of immigration status or other characteristics such as age, LGBT identity, </w:t>
      </w:r>
      <w:r w:rsidR="00E16C6C">
        <w:t xml:space="preserve">race </w:t>
      </w:r>
      <w:r w:rsidR="001B0955">
        <w:t xml:space="preserve"> or disability. </w:t>
      </w:r>
    </w:p>
    <w:p w14:paraId="0DCDFD38" w14:textId="77777777" w:rsidR="00205CEC" w:rsidRPr="00E16D14" w:rsidRDefault="00205CEC" w:rsidP="00651355">
      <w:pPr>
        <w:spacing w:line="360" w:lineRule="auto"/>
        <w:rPr>
          <w:sz w:val="28"/>
          <w:szCs w:val="28"/>
        </w:rPr>
      </w:pPr>
    </w:p>
    <w:p w14:paraId="3278095D" w14:textId="77777777" w:rsidR="00882D3C" w:rsidRDefault="00915504" w:rsidP="005C7383">
      <w:pPr>
        <w:pStyle w:val="level2section"/>
        <w:numPr>
          <w:ilvl w:val="0"/>
          <w:numId w:val="5"/>
        </w:numPr>
      </w:pPr>
      <w:bookmarkStart w:id="12" w:name="_Toc59194660"/>
      <w:r>
        <w:t xml:space="preserve">Equal </w:t>
      </w:r>
      <w:r w:rsidR="0053008E">
        <w:t>protection and support for migrant survivors</w:t>
      </w:r>
      <w:bookmarkEnd w:id="12"/>
    </w:p>
    <w:p w14:paraId="420BFB38" w14:textId="76B4B031" w:rsidR="0053008E" w:rsidRDefault="00D326CF" w:rsidP="005C7383">
      <w:pPr>
        <w:pStyle w:val="Heading3"/>
        <w:numPr>
          <w:ilvl w:val="1"/>
          <w:numId w:val="5"/>
        </w:numPr>
      </w:pPr>
      <w:r>
        <w:t>N</w:t>
      </w:r>
      <w:r w:rsidR="0053008E">
        <w:t>on-discrimination clause</w:t>
      </w:r>
    </w:p>
    <w:p w14:paraId="60B1634A" w14:textId="77777777" w:rsidR="00172E84" w:rsidRPr="007D07E6" w:rsidRDefault="00172E84" w:rsidP="00172E84">
      <w:pPr>
        <w:rPr>
          <w:rFonts w:cstheme="majorBidi"/>
          <w:i/>
          <w:szCs w:val="24"/>
        </w:rPr>
      </w:pPr>
    </w:p>
    <w:p w14:paraId="103B06D2" w14:textId="77777777" w:rsidR="009369D0" w:rsidRDefault="009369D0" w:rsidP="0034759A">
      <w:pPr>
        <w:autoSpaceDE w:val="0"/>
        <w:autoSpaceDN w:val="0"/>
        <w:adjustRightInd w:val="0"/>
        <w:rPr>
          <w:rFonts w:cstheme="majorBidi"/>
          <w:b/>
          <w:i/>
          <w:szCs w:val="24"/>
        </w:rPr>
      </w:pPr>
      <w:r w:rsidRPr="0034759A">
        <w:rPr>
          <w:rFonts w:cstheme="majorBidi"/>
          <w:b/>
          <w:i/>
          <w:szCs w:val="24"/>
        </w:rPr>
        <w:t>Our recommendation</w:t>
      </w:r>
    </w:p>
    <w:p w14:paraId="43816035" w14:textId="77777777" w:rsidR="0034759A" w:rsidRPr="0034759A" w:rsidRDefault="0034759A" w:rsidP="0034759A">
      <w:pPr>
        <w:autoSpaceDE w:val="0"/>
        <w:autoSpaceDN w:val="0"/>
        <w:adjustRightInd w:val="0"/>
        <w:rPr>
          <w:rFonts w:cstheme="majorBidi"/>
          <w:b/>
          <w:i/>
          <w:szCs w:val="24"/>
        </w:rPr>
      </w:pPr>
    </w:p>
    <w:p w14:paraId="5554BAC1" w14:textId="77777777" w:rsidR="00882D3C" w:rsidRDefault="0053008E" w:rsidP="0034759A">
      <w:pPr>
        <w:autoSpaceDE w:val="0"/>
        <w:autoSpaceDN w:val="0"/>
        <w:adjustRightInd w:val="0"/>
        <w:rPr>
          <w:rFonts w:cs="Arial"/>
          <w:szCs w:val="24"/>
        </w:rPr>
      </w:pPr>
      <w:r w:rsidRPr="0053008E">
        <w:t>We recommend that the Bill include a standalone non-discrimination clause that</w:t>
      </w:r>
      <w:r w:rsidR="00591003" w:rsidRPr="0053008E">
        <w:rPr>
          <w:rFonts w:cs="Arial"/>
          <w:spacing w:val="3"/>
          <w:szCs w:val="24"/>
        </w:rPr>
        <w:t xml:space="preserve"> ensures all</w:t>
      </w:r>
      <w:r w:rsidR="00591003" w:rsidRPr="00591003">
        <w:rPr>
          <w:rFonts w:cs="Arial"/>
          <w:spacing w:val="3"/>
          <w:szCs w:val="24"/>
        </w:rPr>
        <w:t xml:space="preserve"> victims of d</w:t>
      </w:r>
      <w:r w:rsidR="00591003" w:rsidRPr="005A231D">
        <w:rPr>
          <w:rFonts w:cs="Arial"/>
          <w:spacing w:val="3"/>
          <w:szCs w:val="24"/>
        </w:rPr>
        <w:t xml:space="preserve">omestic abuse </w:t>
      </w:r>
      <w:r w:rsidR="000313EB" w:rsidRPr="005A231D">
        <w:rPr>
          <w:rFonts w:cs="Arial"/>
          <w:spacing w:val="3"/>
          <w:szCs w:val="24"/>
        </w:rPr>
        <w:t>receive</w:t>
      </w:r>
      <w:r w:rsidR="00050DF6" w:rsidRPr="00286137">
        <w:rPr>
          <w:rFonts w:cs="Arial"/>
          <w:spacing w:val="3"/>
          <w:szCs w:val="24"/>
        </w:rPr>
        <w:t xml:space="preserve"> equally effective</w:t>
      </w:r>
      <w:r w:rsidR="000313EB" w:rsidRPr="005A231D">
        <w:rPr>
          <w:rFonts w:cs="Arial"/>
          <w:spacing w:val="3"/>
          <w:szCs w:val="24"/>
        </w:rPr>
        <w:t xml:space="preserve"> protection and support</w:t>
      </w:r>
      <w:r w:rsidR="00591003" w:rsidRPr="005A231D">
        <w:rPr>
          <w:rFonts w:cs="Arial"/>
          <w:spacing w:val="3"/>
          <w:szCs w:val="24"/>
        </w:rPr>
        <w:t>, regardless</w:t>
      </w:r>
      <w:r w:rsidR="00591003" w:rsidRPr="00591003">
        <w:rPr>
          <w:rFonts w:cs="Arial"/>
          <w:spacing w:val="3"/>
          <w:szCs w:val="24"/>
        </w:rPr>
        <w:t xml:space="preserve"> of their status, in</w:t>
      </w:r>
      <w:r w:rsidR="00591003">
        <w:rPr>
          <w:rFonts w:cs="Arial"/>
          <w:spacing w:val="3"/>
          <w:szCs w:val="24"/>
        </w:rPr>
        <w:t xml:space="preserve"> </w:t>
      </w:r>
      <w:r w:rsidR="00591003" w:rsidRPr="00591003">
        <w:rPr>
          <w:rFonts w:cs="Arial"/>
          <w:spacing w:val="3"/>
          <w:szCs w:val="24"/>
        </w:rPr>
        <w:t>line with Article 4(3) of the Istanbul Convention</w:t>
      </w:r>
      <w:r w:rsidR="00591003">
        <w:rPr>
          <w:rFonts w:cs="Arial"/>
          <w:spacing w:val="3"/>
          <w:szCs w:val="24"/>
        </w:rPr>
        <w:t>.</w:t>
      </w:r>
    </w:p>
    <w:p w14:paraId="2E8D4E5D" w14:textId="77777777" w:rsidR="00591003" w:rsidRDefault="00591003" w:rsidP="00591003">
      <w:pPr>
        <w:autoSpaceDE w:val="0"/>
        <w:autoSpaceDN w:val="0"/>
        <w:adjustRightInd w:val="0"/>
        <w:spacing w:line="240" w:lineRule="auto"/>
      </w:pPr>
    </w:p>
    <w:p w14:paraId="7E040DDD" w14:textId="77777777" w:rsidR="00050DF6" w:rsidRPr="0034759A" w:rsidRDefault="00050DF6" w:rsidP="00172E84">
      <w:pPr>
        <w:pStyle w:val="Heading3"/>
        <w:rPr>
          <w:i/>
        </w:rPr>
      </w:pPr>
      <w:r w:rsidRPr="0034759A">
        <w:rPr>
          <w:i/>
        </w:rPr>
        <w:t xml:space="preserve">Why is this </w:t>
      </w:r>
      <w:r w:rsidR="0053008E" w:rsidRPr="0034759A">
        <w:rPr>
          <w:i/>
        </w:rPr>
        <w:t>change to the Bill needed</w:t>
      </w:r>
      <w:r w:rsidRPr="0034759A">
        <w:rPr>
          <w:i/>
        </w:rPr>
        <w:t xml:space="preserve">? </w:t>
      </w:r>
    </w:p>
    <w:p w14:paraId="7C94CD72" w14:textId="77777777" w:rsidR="00050DF6" w:rsidRPr="00591003" w:rsidRDefault="00050DF6" w:rsidP="00591003">
      <w:pPr>
        <w:autoSpaceDE w:val="0"/>
        <w:autoSpaceDN w:val="0"/>
        <w:adjustRightInd w:val="0"/>
        <w:spacing w:line="240" w:lineRule="auto"/>
      </w:pPr>
    </w:p>
    <w:p w14:paraId="739A797C" w14:textId="77777777" w:rsidR="00921D5A" w:rsidRDefault="007F1178" w:rsidP="00882D3C">
      <w:pPr>
        <w:pStyle w:val="mainbodycopy"/>
      </w:pPr>
      <w:r>
        <w:t>The government has stated its intention to ratify the Istanbul Convention, and intends the Domestic Abuse Bill as the final step to enable the ratification of the Convention.</w:t>
      </w:r>
      <w:r>
        <w:rPr>
          <w:rStyle w:val="FootnoteReference"/>
        </w:rPr>
        <w:footnoteReference w:id="18"/>
      </w:r>
      <w:r w:rsidR="00921D5A">
        <w:t xml:space="preserve"> However, the Convention requires that protection and support for survivors of domestic abuse be provided without discrimination on any grounds, including immigration status.</w:t>
      </w:r>
    </w:p>
    <w:p w14:paraId="0833799E" w14:textId="694C4618" w:rsidR="00921D5A" w:rsidRDefault="00D326CF" w:rsidP="00882D3C">
      <w:pPr>
        <w:pStyle w:val="mainbodycopy"/>
      </w:pPr>
      <w:r>
        <w:t>C</w:t>
      </w:r>
      <w:r w:rsidR="00886627" w:rsidRPr="005A231D">
        <w:t>urrently</w:t>
      </w:r>
      <w:r>
        <w:t>,</w:t>
      </w:r>
      <w:r w:rsidR="00886627" w:rsidRPr="005A231D">
        <w:t xml:space="preserve"> migrant survivors with insecure immigration status are </w:t>
      </w:r>
      <w:r w:rsidR="00F56009" w:rsidRPr="005A231D">
        <w:t>almost entirely</w:t>
      </w:r>
      <w:r w:rsidR="00591003" w:rsidRPr="005A231D">
        <w:t xml:space="preserve"> </w:t>
      </w:r>
      <w:r w:rsidR="00886627" w:rsidRPr="005A231D">
        <w:t>excluded from</w:t>
      </w:r>
      <w:r w:rsidR="00886627">
        <w:t xml:space="preserve"> being able to access refuge or other safe accommodation, due to </w:t>
      </w:r>
      <w:r w:rsidR="009369D0">
        <w:t>being subject to the</w:t>
      </w:r>
      <w:r w:rsidR="00886627">
        <w:t xml:space="preserve"> no recourse to public</w:t>
      </w:r>
      <w:r w:rsidR="009369D0">
        <w:t xml:space="preserve"> funds</w:t>
      </w:r>
      <w:r w:rsidR="009369D0" w:rsidRPr="009369D0">
        <w:rPr>
          <w:rFonts w:cs="Times New Roman"/>
          <w:bCs/>
          <w:iCs/>
          <w:spacing w:val="0"/>
          <w:szCs w:val="22"/>
        </w:rPr>
        <w:t xml:space="preserve"> </w:t>
      </w:r>
      <w:r w:rsidR="009369D0">
        <w:rPr>
          <w:rFonts w:cs="Times New Roman"/>
          <w:bCs/>
          <w:iCs/>
          <w:spacing w:val="0"/>
          <w:szCs w:val="22"/>
        </w:rPr>
        <w:t>condition (</w:t>
      </w:r>
      <w:r w:rsidR="009369D0">
        <w:rPr>
          <w:bCs/>
          <w:iCs/>
        </w:rPr>
        <w:t>which prohibits access to</w:t>
      </w:r>
      <w:r w:rsidR="009369D0" w:rsidRPr="009369D0">
        <w:rPr>
          <w:bCs/>
          <w:iCs/>
        </w:rPr>
        <w:t xml:space="preserve"> welfare benefits and social services). This may be because they have limited leave to enter or remain subject to the NRPF condition, or because they do not have leave to enter or remain</w:t>
      </w:r>
      <w:r w:rsidR="009369D0">
        <w:rPr>
          <w:bCs/>
          <w:iCs/>
        </w:rPr>
        <w:t>.</w:t>
      </w:r>
      <w:r w:rsidR="009369D0">
        <w:t xml:space="preserve"> </w:t>
      </w:r>
      <w:r w:rsidR="009369D0" w:rsidRPr="009369D0">
        <w:rPr>
          <w:bCs/>
          <w:iCs/>
        </w:rPr>
        <w:t xml:space="preserve">Women’s Aid’s </w:t>
      </w:r>
      <w:r w:rsidR="00E16C6C">
        <w:rPr>
          <w:bCs/>
          <w:iCs/>
        </w:rPr>
        <w:t>‘</w:t>
      </w:r>
      <w:r w:rsidR="009369D0" w:rsidRPr="009369D0">
        <w:rPr>
          <w:bCs/>
          <w:iCs/>
        </w:rPr>
        <w:t>No Woman Turned Away</w:t>
      </w:r>
      <w:r w:rsidR="00E16C6C">
        <w:rPr>
          <w:bCs/>
          <w:iCs/>
        </w:rPr>
        <w:t>’</w:t>
      </w:r>
      <w:r w:rsidR="009369D0" w:rsidRPr="009369D0">
        <w:rPr>
          <w:bCs/>
          <w:iCs/>
        </w:rPr>
        <w:t xml:space="preserve"> project, which supports women who face barriers accessing refuge spaces, recently found that only 11.7% of women with NRPF involved in </w:t>
      </w:r>
      <w:r w:rsidR="00322485">
        <w:rPr>
          <w:bCs/>
          <w:iCs/>
        </w:rPr>
        <w:t>the</w:t>
      </w:r>
      <w:r w:rsidR="00322485" w:rsidRPr="009369D0">
        <w:rPr>
          <w:bCs/>
          <w:iCs/>
        </w:rPr>
        <w:t xml:space="preserve"> </w:t>
      </w:r>
      <w:r w:rsidR="009369D0" w:rsidRPr="009369D0">
        <w:rPr>
          <w:bCs/>
          <w:iCs/>
        </w:rPr>
        <w:t>project were accommodated in a suitable refuge.</w:t>
      </w:r>
      <w:r w:rsidR="009369D0" w:rsidRPr="009369D0">
        <w:rPr>
          <w:bCs/>
          <w:iCs/>
          <w:vertAlign w:val="superscript"/>
        </w:rPr>
        <w:footnoteReference w:id="19"/>
      </w:r>
    </w:p>
    <w:p w14:paraId="39CD67B5" w14:textId="2375572E" w:rsidR="009371B4" w:rsidRPr="009371B4" w:rsidRDefault="009371B4" w:rsidP="009371B4">
      <w:pPr>
        <w:pStyle w:val="mainbodycopy"/>
        <w:rPr>
          <w:bCs/>
          <w:iCs/>
        </w:rPr>
      </w:pPr>
      <w:r>
        <w:rPr>
          <w:bCs/>
          <w:iCs/>
        </w:rPr>
        <w:t xml:space="preserve">We consider that failure by the government to ensure that survivors with insecure immigration status can access equal support and protection for domestic abuse may breach Article 14 </w:t>
      </w:r>
      <w:r w:rsidR="00591003">
        <w:rPr>
          <w:bCs/>
          <w:iCs/>
        </w:rPr>
        <w:t xml:space="preserve">of the </w:t>
      </w:r>
      <w:r>
        <w:rPr>
          <w:bCs/>
          <w:iCs/>
        </w:rPr>
        <w:t xml:space="preserve">European Convention on Human Rights (ECHR) (the right to non-discrimination), read together with Article 3 (the prohibition on torture and cruel, inhuman and degrading treatment, Article 2 (the right to life), and/or Article 8 (the right to private and family life).  </w:t>
      </w:r>
      <w:r w:rsidRPr="009371B4">
        <w:rPr>
          <w:bCs/>
          <w:iCs/>
        </w:rPr>
        <w:t>The ECHR imposes positive obligations on the Government to</w:t>
      </w:r>
      <w:r w:rsidR="00591003">
        <w:rPr>
          <w:bCs/>
          <w:iCs/>
        </w:rPr>
        <w:t xml:space="preserve"> take steps to</w:t>
      </w:r>
      <w:r w:rsidRPr="009371B4">
        <w:rPr>
          <w:bCs/>
          <w:iCs/>
        </w:rPr>
        <w:t xml:space="preserve"> protect individuals against abuse or harm caused by other individuals</w:t>
      </w:r>
      <w:r w:rsidR="00B93AA5">
        <w:rPr>
          <w:bCs/>
          <w:iCs/>
        </w:rPr>
        <w:t>.</w:t>
      </w:r>
      <w:r w:rsidRPr="009371B4">
        <w:rPr>
          <w:bCs/>
          <w:iCs/>
        </w:rPr>
        <w:t xml:space="preserve"> Specifically with respect to domestic abuse, the European Court of Human Rights has made clear that a state’s “failure to protect </w:t>
      </w:r>
      <w:r w:rsidRPr="009371B4">
        <w:rPr>
          <w:bCs/>
          <w:iCs/>
          <w:lang w:val="en-US"/>
        </w:rPr>
        <w:t>women against domestic violence breaches their right to equal protection of the law and that this failure does not need to be intentional.”</w:t>
      </w:r>
      <w:r w:rsidRPr="009371B4">
        <w:rPr>
          <w:bCs/>
          <w:iCs/>
          <w:vertAlign w:val="superscript"/>
          <w:lang w:val="en-US"/>
        </w:rPr>
        <w:footnoteReference w:id="20"/>
      </w:r>
      <w:r w:rsidR="000A53FA">
        <w:rPr>
          <w:bCs/>
          <w:iCs/>
          <w:lang w:val="en-US"/>
        </w:rPr>
        <w:t xml:space="preserve"> Further, in our view, </w:t>
      </w:r>
      <w:r w:rsidR="000A53FA" w:rsidRPr="000A53FA">
        <w:rPr>
          <w:bCs/>
          <w:iCs/>
        </w:rPr>
        <w:t xml:space="preserve">where a survivor is unable to access a shelter simply because, by virtue of her immigration status, she has no recourse to public funds, this </w:t>
      </w:r>
      <w:r w:rsidR="00DE39BA">
        <w:rPr>
          <w:bCs/>
          <w:iCs/>
        </w:rPr>
        <w:t>will</w:t>
      </w:r>
      <w:r w:rsidR="00C52C4B">
        <w:rPr>
          <w:bCs/>
          <w:iCs/>
        </w:rPr>
        <w:t xml:space="preserve"> </w:t>
      </w:r>
      <w:r w:rsidR="000A53FA" w:rsidRPr="000A53FA">
        <w:rPr>
          <w:bCs/>
          <w:iCs/>
        </w:rPr>
        <w:t>breach obligations under Art</w:t>
      </w:r>
      <w:r w:rsidR="000A53FA">
        <w:rPr>
          <w:bCs/>
          <w:iCs/>
        </w:rPr>
        <w:t>icle</w:t>
      </w:r>
      <w:r w:rsidR="007C4DEA">
        <w:rPr>
          <w:bCs/>
          <w:iCs/>
        </w:rPr>
        <w:t>s</w:t>
      </w:r>
      <w:r w:rsidR="000A53FA" w:rsidRPr="000A53FA">
        <w:rPr>
          <w:bCs/>
          <w:iCs/>
        </w:rPr>
        <w:t xml:space="preserve"> 4(3) and 23 Istanbul Convention</w:t>
      </w:r>
      <w:r w:rsidR="000A53FA">
        <w:rPr>
          <w:bCs/>
          <w:iCs/>
        </w:rPr>
        <w:t>.</w:t>
      </w:r>
    </w:p>
    <w:p w14:paraId="18106545" w14:textId="49B08390" w:rsidR="009C0097" w:rsidRPr="00B029FF" w:rsidRDefault="00B029FF" w:rsidP="00B029FF">
      <w:pPr>
        <w:pStyle w:val="mainbodycopy"/>
        <w:rPr>
          <w:b/>
        </w:rPr>
      </w:pPr>
      <w:r>
        <w:rPr>
          <w:b/>
        </w:rPr>
        <w:t>2.</w:t>
      </w:r>
      <w:r w:rsidR="00D326CF">
        <w:rPr>
          <w:b/>
        </w:rPr>
        <w:t>2</w:t>
      </w:r>
      <w:r>
        <w:rPr>
          <w:b/>
        </w:rPr>
        <w:t xml:space="preserve"> </w:t>
      </w:r>
      <w:r w:rsidR="003D5D90" w:rsidRPr="00B029FF">
        <w:rPr>
          <w:b/>
        </w:rPr>
        <w:t>Extend the Domestic Violence Rule</w:t>
      </w:r>
    </w:p>
    <w:p w14:paraId="4809CBBA" w14:textId="77777777" w:rsidR="00C80781" w:rsidRPr="0034759A" w:rsidRDefault="009369D0" w:rsidP="00C80781">
      <w:pPr>
        <w:autoSpaceDE w:val="0"/>
        <w:autoSpaceDN w:val="0"/>
        <w:adjustRightInd w:val="0"/>
        <w:spacing w:line="240" w:lineRule="auto"/>
        <w:rPr>
          <w:b/>
          <w:bCs/>
          <w:i/>
          <w:iCs/>
        </w:rPr>
      </w:pPr>
      <w:r w:rsidRPr="0034759A">
        <w:rPr>
          <w:b/>
          <w:bCs/>
          <w:i/>
          <w:iCs/>
        </w:rPr>
        <w:t>Our recommendation</w:t>
      </w:r>
    </w:p>
    <w:p w14:paraId="3AD9793C" w14:textId="77777777" w:rsidR="009369D0" w:rsidRPr="009369D0" w:rsidRDefault="009369D0" w:rsidP="00C80781">
      <w:pPr>
        <w:autoSpaceDE w:val="0"/>
        <w:autoSpaceDN w:val="0"/>
        <w:adjustRightInd w:val="0"/>
        <w:spacing w:line="240" w:lineRule="auto"/>
        <w:rPr>
          <w:b/>
          <w:bCs/>
          <w:iCs/>
        </w:rPr>
      </w:pPr>
    </w:p>
    <w:p w14:paraId="440CC465" w14:textId="77777777" w:rsidR="00191F5C" w:rsidRDefault="009369D0" w:rsidP="003D5D90">
      <w:pPr>
        <w:pStyle w:val="mainbodycopy"/>
        <w:rPr>
          <w:bCs/>
          <w:iCs/>
        </w:rPr>
      </w:pPr>
      <w:r>
        <w:rPr>
          <w:bCs/>
          <w:iCs/>
        </w:rPr>
        <w:t xml:space="preserve">We recommend that the Domestic Violence Rule (DV Rule) is extended to allow all survivors of domestic abuse </w:t>
      </w:r>
      <w:r w:rsidR="00191F5C" w:rsidRPr="002600B4">
        <w:rPr>
          <w:bCs/>
          <w:iCs/>
        </w:rPr>
        <w:t xml:space="preserve">a route to regularising </w:t>
      </w:r>
      <w:r w:rsidR="00322485">
        <w:rPr>
          <w:bCs/>
          <w:iCs/>
        </w:rPr>
        <w:t xml:space="preserve">their </w:t>
      </w:r>
      <w:r w:rsidR="00191F5C" w:rsidRPr="002600B4">
        <w:rPr>
          <w:bCs/>
          <w:iCs/>
        </w:rPr>
        <w:t>immigration status, and access refuge space and welfare support whilst applying through this route</w:t>
      </w:r>
      <w:r w:rsidR="00191F5C">
        <w:rPr>
          <w:bCs/>
          <w:iCs/>
        </w:rPr>
        <w:t>.</w:t>
      </w:r>
    </w:p>
    <w:p w14:paraId="38D7291D" w14:textId="77777777" w:rsidR="009369D0" w:rsidRPr="0034759A" w:rsidRDefault="009369D0" w:rsidP="003D5D90">
      <w:pPr>
        <w:pStyle w:val="mainbodycopy"/>
        <w:rPr>
          <w:b/>
          <w:bCs/>
          <w:i/>
          <w:iCs/>
        </w:rPr>
      </w:pPr>
      <w:r w:rsidRPr="0034759A">
        <w:rPr>
          <w:b/>
          <w:bCs/>
          <w:i/>
          <w:iCs/>
        </w:rPr>
        <w:t>Why is this change to the Bill needed?</w:t>
      </w:r>
    </w:p>
    <w:p w14:paraId="31510FE2" w14:textId="07F6A179" w:rsidR="003D5D90" w:rsidRPr="002600B4" w:rsidRDefault="003D5D90" w:rsidP="003D5D90">
      <w:pPr>
        <w:pStyle w:val="mainbodycopy"/>
        <w:rPr>
          <w:bCs/>
          <w:iCs/>
        </w:rPr>
      </w:pPr>
      <w:r w:rsidRPr="002600B4">
        <w:rPr>
          <w:bCs/>
          <w:iCs/>
        </w:rPr>
        <w:t>The DV Rule – an application under the Immigration Rules - provides a way out for survivors of domestic abuse on a spousal visa, allowing them to regularise their status by applying for indefinite leave to remain. Southall Black Sisters, who work with survivors with NRPF, states that it is a model of protection that is currently working well for those on spousal visas.</w:t>
      </w:r>
      <w:r w:rsidRPr="002600B4">
        <w:rPr>
          <w:bCs/>
          <w:iCs/>
          <w:vertAlign w:val="superscript"/>
        </w:rPr>
        <w:footnoteReference w:id="21"/>
      </w:r>
      <w:r w:rsidRPr="002600B4">
        <w:rPr>
          <w:bCs/>
          <w:iCs/>
        </w:rPr>
        <w:t xml:space="preserve">  However, it is not available to survivors on other visas or no visa, leaving them </w:t>
      </w:r>
      <w:r w:rsidR="003A6A00">
        <w:rPr>
          <w:bCs/>
          <w:iCs/>
        </w:rPr>
        <w:t>at risk of the</w:t>
      </w:r>
      <w:r w:rsidR="00191F5C" w:rsidRPr="00191F5C">
        <w:rPr>
          <w:bCs/>
          <w:iCs/>
        </w:rPr>
        <w:t xml:space="preserve"> perpetrator using the threat of deportation or destitution as a means of coercive control. </w:t>
      </w:r>
    </w:p>
    <w:p w14:paraId="0DDB1C7C" w14:textId="77777777" w:rsidR="003D5D90" w:rsidRPr="002600B4" w:rsidRDefault="003D5D90" w:rsidP="003D5D90">
      <w:pPr>
        <w:pStyle w:val="mainbodycopy"/>
        <w:rPr>
          <w:bCs/>
          <w:iCs/>
        </w:rPr>
      </w:pPr>
      <w:r w:rsidRPr="002600B4">
        <w:rPr>
          <w:bCs/>
          <w:iCs/>
        </w:rPr>
        <w:t>The Destitute Domestic Violence Concession (DDVC) permits survivors applying under the DV Rule three months’ temporary access to public funds, as well as allowing them to enter into employment</w:t>
      </w:r>
      <w:r w:rsidR="00CA75C7">
        <w:rPr>
          <w:bCs/>
          <w:iCs/>
        </w:rPr>
        <w:t xml:space="preserve"> while they make an application under the DV rule</w:t>
      </w:r>
      <w:r w:rsidRPr="002600B4">
        <w:rPr>
          <w:bCs/>
          <w:iCs/>
        </w:rPr>
        <w:t>. However, the three-month time limit is a barrier to women in obtaining accommodation, accessing support and obtaining legal advice and representation to make an application.</w:t>
      </w:r>
      <w:r w:rsidRPr="002600B4">
        <w:rPr>
          <w:bCs/>
          <w:iCs/>
          <w:vertAlign w:val="superscript"/>
        </w:rPr>
        <w:footnoteReference w:id="22"/>
      </w:r>
      <w:r w:rsidRPr="002600B4">
        <w:rPr>
          <w:bCs/>
          <w:iCs/>
        </w:rPr>
        <w:t xml:space="preserve"> Further, as it is linked to the DV Rule, the DDVC is limited to those on spousal visas.</w:t>
      </w:r>
    </w:p>
    <w:p w14:paraId="29E06A2F" w14:textId="71040C1C" w:rsidR="003D5D90" w:rsidRPr="002600B4" w:rsidRDefault="003D5D90" w:rsidP="003D5D90">
      <w:pPr>
        <w:pStyle w:val="mainbodycopy"/>
        <w:rPr>
          <w:bCs/>
          <w:iCs/>
        </w:rPr>
      </w:pPr>
      <w:r w:rsidRPr="002600B4">
        <w:rPr>
          <w:bCs/>
          <w:iCs/>
        </w:rPr>
        <w:t xml:space="preserve">We recommend that eligibility to apply under the DV Rule should be extended to all survivors of domestic abuse with insecure immigration status, not just those on spousal visas. The DDVC should be extended from three to six months, and  </w:t>
      </w:r>
      <w:r w:rsidR="00EF1233">
        <w:rPr>
          <w:bCs/>
          <w:iCs/>
        </w:rPr>
        <w:t xml:space="preserve">also </w:t>
      </w:r>
      <w:r w:rsidRPr="002600B4">
        <w:rPr>
          <w:bCs/>
          <w:iCs/>
        </w:rPr>
        <w:t xml:space="preserve">be available to all migrant survivors of domestic abuse with insecure immigration status, not just those on spousal visas. This would provide a route to regularising immigration status for all survivors of domestic abuse, and </w:t>
      </w:r>
      <w:r w:rsidR="00AA59CA">
        <w:rPr>
          <w:bCs/>
          <w:iCs/>
        </w:rPr>
        <w:t>enable</w:t>
      </w:r>
      <w:r w:rsidR="00AA59CA" w:rsidRPr="002600B4">
        <w:rPr>
          <w:bCs/>
          <w:iCs/>
        </w:rPr>
        <w:t xml:space="preserve"> </w:t>
      </w:r>
      <w:r w:rsidRPr="002600B4">
        <w:rPr>
          <w:bCs/>
          <w:iCs/>
        </w:rPr>
        <w:t xml:space="preserve">them to access refuge space and welfare support whilst applying through this route. </w:t>
      </w:r>
    </w:p>
    <w:p w14:paraId="21565C33" w14:textId="15F47295" w:rsidR="004C1DE1" w:rsidRPr="00B029FF" w:rsidRDefault="00B029FF" w:rsidP="00B029FF">
      <w:pPr>
        <w:pStyle w:val="mainbodycopy"/>
        <w:rPr>
          <w:b/>
        </w:rPr>
      </w:pPr>
      <w:r w:rsidRPr="00B029FF">
        <w:rPr>
          <w:b/>
        </w:rPr>
        <w:t>2.</w:t>
      </w:r>
      <w:r w:rsidR="00D326CF">
        <w:rPr>
          <w:b/>
        </w:rPr>
        <w:t>3</w:t>
      </w:r>
      <w:r w:rsidRPr="00B029FF">
        <w:rPr>
          <w:b/>
        </w:rPr>
        <w:t xml:space="preserve"> </w:t>
      </w:r>
      <w:r w:rsidR="00E46A3C" w:rsidRPr="00B029FF">
        <w:rPr>
          <w:b/>
        </w:rPr>
        <w:t>Safe reporting</w:t>
      </w:r>
      <w:r w:rsidR="00D326CF">
        <w:rPr>
          <w:b/>
        </w:rPr>
        <w:t xml:space="preserve"> of domestic abuse</w:t>
      </w:r>
      <w:r w:rsidR="00020379" w:rsidRPr="00B029FF">
        <w:rPr>
          <w:b/>
        </w:rPr>
        <w:t xml:space="preserve"> for migrant survivors</w:t>
      </w:r>
    </w:p>
    <w:p w14:paraId="091BE32D" w14:textId="77777777" w:rsidR="00C80781" w:rsidRPr="0034759A" w:rsidRDefault="00C80781" w:rsidP="005207C1">
      <w:pPr>
        <w:pStyle w:val="Heading3"/>
        <w:spacing w:after="240"/>
        <w:rPr>
          <w:i/>
        </w:rPr>
      </w:pPr>
      <w:r w:rsidRPr="0034759A">
        <w:rPr>
          <w:i/>
        </w:rPr>
        <w:t>Our recommendation</w:t>
      </w:r>
    </w:p>
    <w:p w14:paraId="0DE6F63D" w14:textId="77777777" w:rsidR="00C80781" w:rsidRDefault="007D07E6" w:rsidP="00C80781">
      <w:pPr>
        <w:pStyle w:val="mainbodycopy"/>
      </w:pPr>
      <w:r w:rsidRPr="0034759A">
        <w:rPr>
          <w:bCs/>
          <w:iCs/>
        </w:rPr>
        <w:t>The Bill should be amended</w:t>
      </w:r>
      <w:r w:rsidR="00C80781" w:rsidRPr="0034759A">
        <w:t xml:space="preserve"> to</w:t>
      </w:r>
      <w:r w:rsidR="00C80781" w:rsidRPr="00C80781">
        <w:t xml:space="preserve"> ensure that the personal data of migrant survivors of domestic abuse that is given or used for the purpose of their seeking or receiving support and assistance is not used for immigration control purposes.</w:t>
      </w:r>
      <w:r w:rsidR="00C80781" w:rsidRPr="002600B4">
        <w:t xml:space="preserve"> </w:t>
      </w:r>
    </w:p>
    <w:p w14:paraId="7081412C" w14:textId="77777777" w:rsidR="00F351A1" w:rsidRPr="0034759A" w:rsidRDefault="00F351A1" w:rsidP="00172E84">
      <w:pPr>
        <w:pStyle w:val="Heading3"/>
        <w:rPr>
          <w:i/>
        </w:rPr>
      </w:pPr>
      <w:r w:rsidRPr="0034759A">
        <w:rPr>
          <w:i/>
        </w:rPr>
        <w:t xml:space="preserve">Why is this </w:t>
      </w:r>
      <w:r w:rsidR="007D07E6" w:rsidRPr="0034759A">
        <w:rPr>
          <w:i/>
        </w:rPr>
        <w:t>change to the Bill</w:t>
      </w:r>
      <w:r w:rsidRPr="0034759A">
        <w:rPr>
          <w:i/>
        </w:rPr>
        <w:t xml:space="preserve"> needed?</w:t>
      </w:r>
    </w:p>
    <w:p w14:paraId="29AE2BF9" w14:textId="77777777" w:rsidR="005207C1" w:rsidRPr="005207C1" w:rsidRDefault="005207C1" w:rsidP="005207C1"/>
    <w:p w14:paraId="19D9B405" w14:textId="77777777" w:rsidR="00C80781" w:rsidRPr="002600B4" w:rsidRDefault="00C83D8F" w:rsidP="00C80781">
      <w:pPr>
        <w:pStyle w:val="mainbodycopy"/>
      </w:pPr>
      <w:r>
        <w:t>The</w:t>
      </w:r>
      <w:r w:rsidR="00C80781" w:rsidRPr="002600B4">
        <w:t xml:space="preserve"> personal data of migra</w:t>
      </w:r>
      <w:r w:rsidR="005207C1">
        <w:t>nt survivors of domestic abuse should not be</w:t>
      </w:r>
      <w:r w:rsidR="00C80781" w:rsidRPr="002600B4">
        <w:t xml:space="preserve"> shared by providers of accommodation, banking services, education, employment, financial </w:t>
      </w:r>
      <w:r w:rsidR="00713D50">
        <w:t xml:space="preserve">or social </w:t>
      </w:r>
      <w:r w:rsidR="00C80781" w:rsidRPr="002600B4">
        <w:t>assistance, healthcare and policing services for immigration purposes.</w:t>
      </w:r>
    </w:p>
    <w:p w14:paraId="6CAEAB87" w14:textId="77777777" w:rsidR="00F13E57" w:rsidRDefault="00CC5461" w:rsidP="00EB3413">
      <w:pPr>
        <w:pStyle w:val="mainbodycopy"/>
      </w:pPr>
      <w:r w:rsidRPr="002600B4">
        <w:t xml:space="preserve">We consider that it is inappropriate for survivors accessing support for domestic abuse to have their information shared for the purposes of immigration enforcement. Such information-sharing acts as a deterrent on survivors from reporting crimes and seeking the support of these services. </w:t>
      </w:r>
      <w:r w:rsidR="00C52C4B" w:rsidRPr="00C52C4B">
        <w:t>A joint investigation by HM</w:t>
      </w:r>
      <w:r w:rsidR="00C52C4B">
        <w:t>ICFRS, the College of Policing</w:t>
      </w:r>
      <w:r w:rsidR="00C52C4B" w:rsidRPr="00C52C4B">
        <w:t xml:space="preserve"> and the Indepen</w:t>
      </w:r>
      <w:r w:rsidR="00C52C4B">
        <w:t>dent Office for Police Conduct recently</w:t>
      </w:r>
      <w:r w:rsidR="00C52C4B" w:rsidRPr="00C52C4B">
        <w:t xml:space="preserve"> found that victims of crime with insecure or uncertain immigration status are fearful that, if they report crimes to the police, their information will be shared with the Home Office</w:t>
      </w:r>
      <w:r w:rsidR="00C52C4B">
        <w:t>. The investigation found that the current system of information sharing between police and Home Office “</w:t>
      </w:r>
      <w:r w:rsidR="00C52C4B" w:rsidRPr="00C52C4B">
        <w:t>was causing significant harm to the public interest</w:t>
      </w:r>
      <w:r w:rsidR="00C52C4B">
        <w:t>.”</w:t>
      </w:r>
      <w:r w:rsidR="00C52C4B">
        <w:rPr>
          <w:rStyle w:val="FootnoteReference"/>
        </w:rPr>
        <w:footnoteReference w:id="23"/>
      </w:r>
      <w:r w:rsidR="00C52C4B">
        <w:t xml:space="preserve"> </w:t>
      </w:r>
    </w:p>
    <w:p w14:paraId="4FDBDF02" w14:textId="425C5ED3" w:rsidR="00FF790F" w:rsidRDefault="00CC5461" w:rsidP="00EB3413">
      <w:pPr>
        <w:pStyle w:val="mainbodycopy"/>
      </w:pPr>
      <w:r w:rsidRPr="002600B4">
        <w:t>Further, as highlighted above, the threat of immigration enforcement is in itself used by perpetrators as a form of coercive control. The CEDAW Committee has called on states, in the context of gender-based violence, to repeal “…restrictive immigration laws that discourage women, including migrant domestic workers, from reporting this violence…”.</w:t>
      </w:r>
      <w:r w:rsidRPr="002600B4">
        <w:rPr>
          <w:vertAlign w:val="superscript"/>
        </w:rPr>
        <w:footnoteReference w:id="24"/>
      </w:r>
      <w:r w:rsidRPr="002600B4">
        <w:t xml:space="preserve"> With respect to the UK in particular, the CEDAW Committee recommended in March this year that “asylum-seeking women, migrants and women with insecure immigration status are able to seek effective protection and support services without fear of having their immigration status reported to authorities.”</w:t>
      </w:r>
      <w:r w:rsidRPr="002600B4">
        <w:rPr>
          <w:vertAlign w:val="superscript"/>
        </w:rPr>
        <w:footnoteReference w:id="25"/>
      </w:r>
      <w:r w:rsidR="000F78C4" w:rsidRPr="002600B4">
        <w:t xml:space="preserve"> </w:t>
      </w:r>
    </w:p>
    <w:p w14:paraId="41073C99" w14:textId="77777777" w:rsidR="00EB3413" w:rsidRDefault="000F78C4" w:rsidP="00EB3413">
      <w:pPr>
        <w:pStyle w:val="mainbodycopy"/>
      </w:pPr>
      <w:r w:rsidRPr="002600B4">
        <w:t>We therefore recommend that the Bill prohibits the sharing of survivors’ personal data for the purposes of immigration enforcement where the data was collected in the course of the person accessing assistance or support for domestic abuse</w:t>
      </w:r>
      <w:r w:rsidR="00EB3413">
        <w:t>.</w:t>
      </w:r>
      <w:bookmarkStart w:id="13" w:name="_Toc41472351"/>
      <w:bookmarkStart w:id="14" w:name="_Toc41472460"/>
      <w:bookmarkStart w:id="15" w:name="_Toc41472557"/>
      <w:bookmarkStart w:id="16" w:name="_Toc41472616"/>
    </w:p>
    <w:p w14:paraId="4DAC9080" w14:textId="77777777" w:rsidR="00155C2C" w:rsidRDefault="00EB64F6" w:rsidP="005C7383">
      <w:pPr>
        <w:pStyle w:val="level2section"/>
        <w:numPr>
          <w:ilvl w:val="0"/>
          <w:numId w:val="5"/>
        </w:numPr>
        <w:rPr>
          <w:rFonts w:cs="Arial"/>
          <w:spacing w:val="3"/>
          <w:szCs w:val="24"/>
        </w:rPr>
      </w:pPr>
      <w:bookmarkStart w:id="17" w:name="_Toc59194661"/>
      <w:r>
        <w:t>Better p</w:t>
      </w:r>
      <w:r w:rsidR="00155C2C">
        <w:t>rotections for survivors in the courts</w:t>
      </w:r>
      <w:bookmarkEnd w:id="17"/>
    </w:p>
    <w:p w14:paraId="70304CF3" w14:textId="77777777" w:rsidR="00A3400B" w:rsidRPr="0034759A" w:rsidRDefault="00A3400B" w:rsidP="00B758B2">
      <w:pPr>
        <w:spacing w:after="360" w:line="360" w:lineRule="auto"/>
        <w:rPr>
          <w:b/>
          <w:i/>
        </w:rPr>
      </w:pPr>
      <w:r w:rsidRPr="0034759A">
        <w:rPr>
          <w:b/>
          <w:i/>
        </w:rPr>
        <w:t>Our recommendation</w:t>
      </w:r>
    </w:p>
    <w:p w14:paraId="0804E6F0" w14:textId="77777777" w:rsidR="00A3400B" w:rsidRPr="00A3400B" w:rsidRDefault="00A3400B" w:rsidP="00B758B2">
      <w:pPr>
        <w:spacing w:after="360" w:line="360" w:lineRule="auto"/>
      </w:pPr>
      <w:r>
        <w:t xml:space="preserve">We recommend the Bill is amended to ensure </w:t>
      </w:r>
      <w:r w:rsidRPr="00A3400B">
        <w:t xml:space="preserve">that </w:t>
      </w:r>
      <w:r>
        <w:t>the</w:t>
      </w:r>
      <w:r w:rsidRPr="00A3400B">
        <w:t xml:space="preserve"> prohibition on cross-examination in person </w:t>
      </w:r>
      <w:r>
        <w:t>is</w:t>
      </w:r>
      <w:r w:rsidRPr="00A3400B">
        <w:t xml:space="preserve"> available automatically in all cases where domestic abuse </w:t>
      </w:r>
      <w:r w:rsidR="003E7C31">
        <w:t>is</w:t>
      </w:r>
      <w:r w:rsidRPr="00A3400B">
        <w:t xml:space="preserve"> </w:t>
      </w:r>
      <w:r w:rsidR="00C83D8F">
        <w:t>declared to be an</w:t>
      </w:r>
      <w:r w:rsidR="003E7C31">
        <w:t xml:space="preserve"> issue</w:t>
      </w:r>
      <w:r>
        <w:t xml:space="preserve"> (and not just in cases where there is a caution, conviction, injunction, charge or specified evidence available), across both the family and civil courts. We also recommend that the automatic provision for special measures in the family court</w:t>
      </w:r>
      <w:r w:rsidR="00A07BD3">
        <w:t>s</w:t>
      </w:r>
      <w:r>
        <w:t xml:space="preserve"> is mirrored in the civil courts. </w:t>
      </w:r>
    </w:p>
    <w:p w14:paraId="3F1C44F4" w14:textId="77777777" w:rsidR="00A3400B" w:rsidRPr="0034759A" w:rsidRDefault="00A3400B" w:rsidP="00B758B2">
      <w:pPr>
        <w:spacing w:after="360" w:line="360" w:lineRule="auto"/>
        <w:rPr>
          <w:b/>
          <w:i/>
        </w:rPr>
      </w:pPr>
      <w:r w:rsidRPr="0034759A">
        <w:rPr>
          <w:b/>
          <w:i/>
        </w:rPr>
        <w:t xml:space="preserve">Why </w:t>
      </w:r>
      <w:r w:rsidR="00A07BD3" w:rsidRPr="0034759A">
        <w:rPr>
          <w:b/>
          <w:i/>
        </w:rPr>
        <w:t>are these</w:t>
      </w:r>
      <w:r w:rsidRPr="0034759A">
        <w:rPr>
          <w:b/>
          <w:i/>
        </w:rPr>
        <w:t xml:space="preserve"> change</w:t>
      </w:r>
      <w:r w:rsidR="00A07BD3" w:rsidRPr="0034759A">
        <w:rPr>
          <w:b/>
          <w:i/>
        </w:rPr>
        <w:t>s</w:t>
      </w:r>
      <w:r w:rsidRPr="0034759A">
        <w:rPr>
          <w:b/>
          <w:i/>
        </w:rPr>
        <w:t xml:space="preserve"> to the Bill needed?</w:t>
      </w:r>
    </w:p>
    <w:p w14:paraId="3A8E0E39" w14:textId="470BF7AB" w:rsidR="00A73294" w:rsidRDefault="00F73C10" w:rsidP="00B758B2">
      <w:pPr>
        <w:spacing w:after="360" w:line="360" w:lineRule="auto"/>
        <w:rPr>
          <w:szCs w:val="24"/>
        </w:rPr>
      </w:pPr>
      <w:r w:rsidRPr="00F73C10">
        <w:t>W</w:t>
      </w:r>
      <w:r w:rsidR="00B758B2" w:rsidRPr="00F73C10">
        <w:t>e welcome the government’s amendments extending automatic eligibility for special measures to the family courts (</w:t>
      </w:r>
      <w:r w:rsidRPr="00F73C10">
        <w:t>Section 61</w:t>
      </w:r>
      <w:r w:rsidR="00B758B2" w:rsidRPr="00F73C10">
        <w:t xml:space="preserve">). This is a </w:t>
      </w:r>
      <w:r w:rsidR="003E7C31">
        <w:t>very important</w:t>
      </w:r>
      <w:r w:rsidR="00B758B2" w:rsidRPr="00F73C10">
        <w:t xml:space="preserve"> improvement for survivors. We also welcome the extension of </w:t>
      </w:r>
      <w:r w:rsidR="00C83D8F">
        <w:t xml:space="preserve">a discretionary </w:t>
      </w:r>
      <w:r w:rsidR="00B758B2" w:rsidRPr="00F73C10">
        <w:t>provision for special measures</w:t>
      </w:r>
      <w:r w:rsidR="000D4CA0">
        <w:t xml:space="preserve"> </w:t>
      </w:r>
      <w:r w:rsidR="00B758B2" w:rsidRPr="00F73C10">
        <w:t>and a</w:t>
      </w:r>
      <w:r w:rsidR="009B53C5">
        <w:t xml:space="preserve"> discretionary</w:t>
      </w:r>
      <w:r w:rsidR="00B758B2" w:rsidRPr="00F73C10">
        <w:t xml:space="preserve"> prohibition on cross-examination in person to the civil courts</w:t>
      </w:r>
      <w:r w:rsidR="000D4CA0">
        <w:t xml:space="preserve"> </w:t>
      </w:r>
      <w:r w:rsidR="00B758B2" w:rsidRPr="00F73C10">
        <w:t>(</w:t>
      </w:r>
      <w:r w:rsidRPr="00F73C10">
        <w:t>Sections 62 and 64</w:t>
      </w:r>
      <w:r w:rsidR="00B758B2" w:rsidRPr="00F73C10">
        <w:rPr>
          <w:szCs w:val="24"/>
        </w:rPr>
        <w:t xml:space="preserve">).  </w:t>
      </w:r>
      <w:r w:rsidR="00A73294">
        <w:rPr>
          <w:szCs w:val="24"/>
        </w:rPr>
        <w:t>However, we consider that the Bill needs to go further in this area to ensure survivors are able to fully p</w:t>
      </w:r>
      <w:r w:rsidR="001B6D46">
        <w:rPr>
          <w:szCs w:val="24"/>
        </w:rPr>
        <w:t xml:space="preserve">articipate in court proceedings </w:t>
      </w:r>
      <w:r w:rsidR="00241FEC">
        <w:rPr>
          <w:szCs w:val="24"/>
        </w:rPr>
        <w:t xml:space="preserve">and access justice </w:t>
      </w:r>
      <w:r w:rsidR="001B6D46">
        <w:rPr>
          <w:szCs w:val="24"/>
        </w:rPr>
        <w:t>across all court jurisdictions</w:t>
      </w:r>
      <w:r w:rsidR="002B2397">
        <w:rPr>
          <w:szCs w:val="24"/>
        </w:rPr>
        <w:t>.</w:t>
      </w:r>
    </w:p>
    <w:p w14:paraId="76C4626B" w14:textId="77777777" w:rsidR="00A3400B" w:rsidRPr="00A3400B" w:rsidRDefault="00A3400B" w:rsidP="00B758B2">
      <w:pPr>
        <w:spacing w:after="360" w:line="360" w:lineRule="auto"/>
        <w:rPr>
          <w:i/>
          <w:szCs w:val="24"/>
        </w:rPr>
      </w:pPr>
      <w:r>
        <w:rPr>
          <w:i/>
          <w:szCs w:val="24"/>
        </w:rPr>
        <w:t>Special measures</w:t>
      </w:r>
    </w:p>
    <w:p w14:paraId="29F34F76" w14:textId="77777777" w:rsidR="00EF1233" w:rsidRDefault="00A73294" w:rsidP="00621E01">
      <w:pPr>
        <w:spacing w:after="360" w:line="360" w:lineRule="auto"/>
        <w:rPr>
          <w:szCs w:val="24"/>
        </w:rPr>
      </w:pPr>
      <w:r>
        <w:rPr>
          <w:szCs w:val="24"/>
        </w:rPr>
        <w:t>Currently</w:t>
      </w:r>
      <w:r w:rsidR="00B758B2" w:rsidRPr="00F73C10">
        <w:rPr>
          <w:szCs w:val="24"/>
        </w:rPr>
        <w:t xml:space="preserve">, </w:t>
      </w:r>
      <w:r w:rsidR="00A07BD3">
        <w:rPr>
          <w:szCs w:val="24"/>
        </w:rPr>
        <w:t xml:space="preserve">the Bill provides for automatic eligibility of special measures in the family courts for victims of domestic abuse without the need for determination of the victim’s vulnerability (Section 61). Section 62 provides </w:t>
      </w:r>
      <w:r w:rsidR="00C83D8F">
        <w:rPr>
          <w:szCs w:val="24"/>
        </w:rPr>
        <w:t xml:space="preserve">a discretion </w:t>
      </w:r>
      <w:r w:rsidR="00A07BD3">
        <w:rPr>
          <w:szCs w:val="24"/>
        </w:rPr>
        <w:t>for special measures in the civil courts, but does not ensure au</w:t>
      </w:r>
      <w:r w:rsidR="00E97CD4">
        <w:rPr>
          <w:szCs w:val="24"/>
        </w:rPr>
        <w:t>tomatic eligibility. Rather, it i</w:t>
      </w:r>
      <w:r w:rsidR="00A07BD3">
        <w:rPr>
          <w:szCs w:val="24"/>
        </w:rPr>
        <w:t xml:space="preserve">s </w:t>
      </w:r>
      <w:r w:rsidR="00E97CD4">
        <w:rPr>
          <w:szCs w:val="24"/>
        </w:rPr>
        <w:t>a</w:t>
      </w:r>
      <w:r w:rsidR="00A07BD3">
        <w:rPr>
          <w:szCs w:val="24"/>
        </w:rPr>
        <w:t xml:space="preserve"> provision that a court </w:t>
      </w:r>
      <w:r w:rsidR="00A07BD3" w:rsidRPr="00E97CD4">
        <w:rPr>
          <w:szCs w:val="24"/>
          <w:u w:val="single"/>
        </w:rPr>
        <w:t>may</w:t>
      </w:r>
      <w:r w:rsidR="00A07BD3">
        <w:rPr>
          <w:szCs w:val="24"/>
        </w:rPr>
        <w:t xml:space="preserve"> make </w:t>
      </w:r>
      <w:r w:rsidR="00A07BD3" w:rsidRPr="00A07BD3">
        <w:rPr>
          <w:szCs w:val="24"/>
        </w:rPr>
        <w:t xml:space="preserve">a special measures direction </w:t>
      </w:r>
      <w:r w:rsidR="00A07BD3">
        <w:rPr>
          <w:szCs w:val="24"/>
        </w:rPr>
        <w:t>where the survivor</w:t>
      </w:r>
      <w:r w:rsidR="00A07BD3" w:rsidRPr="00A07BD3">
        <w:rPr>
          <w:szCs w:val="24"/>
        </w:rPr>
        <w:t xml:space="preserve"> is the </w:t>
      </w:r>
      <w:r w:rsidR="00A07BD3">
        <w:rPr>
          <w:szCs w:val="24"/>
        </w:rPr>
        <w:t>“</w:t>
      </w:r>
      <w:r w:rsidR="00A07BD3" w:rsidRPr="00A07BD3">
        <w:rPr>
          <w:szCs w:val="24"/>
        </w:rPr>
        <w:t>victim, or alleged vi</w:t>
      </w:r>
      <w:r w:rsidR="003E586E">
        <w:rPr>
          <w:szCs w:val="24"/>
        </w:rPr>
        <w:t>ctim, of a specified offence,</w:t>
      </w:r>
      <w:r w:rsidR="00A07BD3" w:rsidRPr="00A07BD3">
        <w:rPr>
          <w:szCs w:val="24"/>
        </w:rPr>
        <w:t>”</w:t>
      </w:r>
      <w:r w:rsidR="003E586E">
        <w:rPr>
          <w:szCs w:val="24"/>
        </w:rPr>
        <w:t xml:space="preserve"> meaning that only survivors whose alleged perpetrator has b</w:t>
      </w:r>
      <w:r w:rsidR="00AC306D">
        <w:rPr>
          <w:szCs w:val="24"/>
        </w:rPr>
        <w:t xml:space="preserve">een convicted, cautioned or </w:t>
      </w:r>
      <w:r w:rsidR="003E586E">
        <w:rPr>
          <w:szCs w:val="24"/>
        </w:rPr>
        <w:t>charged</w:t>
      </w:r>
      <w:r w:rsidR="00AC306D">
        <w:rPr>
          <w:szCs w:val="24"/>
        </w:rPr>
        <w:t xml:space="preserve"> with an offence</w:t>
      </w:r>
      <w:r w:rsidR="003E586E">
        <w:rPr>
          <w:szCs w:val="24"/>
        </w:rPr>
        <w:t xml:space="preserve">, will benefit, and then only subject to judicial discretion. </w:t>
      </w:r>
    </w:p>
    <w:p w14:paraId="6700882C" w14:textId="0A83510D" w:rsidR="00621E01" w:rsidRPr="00621E01" w:rsidRDefault="00B9466E" w:rsidP="00621E01">
      <w:pPr>
        <w:spacing w:after="360" w:line="360" w:lineRule="auto"/>
        <w:rPr>
          <w:szCs w:val="24"/>
        </w:rPr>
      </w:pPr>
      <w:r>
        <w:rPr>
          <w:szCs w:val="24"/>
        </w:rPr>
        <w:t xml:space="preserve">This is problematic </w:t>
      </w:r>
      <w:r w:rsidR="00322485">
        <w:rPr>
          <w:szCs w:val="24"/>
        </w:rPr>
        <w:t>both in relation to the evidential bar and to judicial discretion. M</w:t>
      </w:r>
      <w:r>
        <w:rPr>
          <w:szCs w:val="24"/>
        </w:rPr>
        <w:t>ost survivors do not report their abuse to the police (</w:t>
      </w:r>
      <w:r w:rsidRPr="00B9466E">
        <w:rPr>
          <w:szCs w:val="24"/>
        </w:rPr>
        <w:t xml:space="preserve">the Office for National Statistics estimates that around four in five (79%) survivors </w:t>
      </w:r>
      <w:r>
        <w:rPr>
          <w:szCs w:val="24"/>
        </w:rPr>
        <w:t>do</w:t>
      </w:r>
      <w:r w:rsidRPr="00B9466E">
        <w:rPr>
          <w:szCs w:val="24"/>
        </w:rPr>
        <w:t xml:space="preserve"> </w:t>
      </w:r>
      <w:r w:rsidRPr="00C83D8F">
        <w:rPr>
          <w:szCs w:val="24"/>
        </w:rPr>
        <w:t>not</w:t>
      </w:r>
      <w:r w:rsidRPr="00B9466E">
        <w:rPr>
          <w:szCs w:val="24"/>
        </w:rPr>
        <w:t xml:space="preserve"> report partner abuse to the police</w:t>
      </w:r>
      <w:r w:rsidR="00322485" w:rsidRPr="00B9466E">
        <w:rPr>
          <w:szCs w:val="24"/>
          <w:vertAlign w:val="superscript"/>
        </w:rPr>
        <w:footnoteReference w:id="26"/>
      </w:r>
      <w:r>
        <w:rPr>
          <w:szCs w:val="24"/>
        </w:rPr>
        <w:t>)</w:t>
      </w:r>
      <w:r w:rsidR="00322485">
        <w:rPr>
          <w:szCs w:val="24"/>
        </w:rPr>
        <w:t>.</w:t>
      </w:r>
      <w:r>
        <w:rPr>
          <w:szCs w:val="24"/>
        </w:rPr>
        <w:t xml:space="preserve"> </w:t>
      </w:r>
      <w:r w:rsidR="00322485">
        <w:rPr>
          <w:szCs w:val="24"/>
        </w:rPr>
        <w:t xml:space="preserve">Secondly, </w:t>
      </w:r>
      <w:r w:rsidR="00621E01">
        <w:rPr>
          <w:szCs w:val="24"/>
        </w:rPr>
        <w:t>judicial discretion in relation to special measures has proved highly inconsistent in the family courts (as evidence</w:t>
      </w:r>
      <w:r w:rsidR="00E97CD4">
        <w:rPr>
          <w:szCs w:val="24"/>
        </w:rPr>
        <w:t>d</w:t>
      </w:r>
      <w:r w:rsidR="00621E01">
        <w:rPr>
          <w:szCs w:val="24"/>
        </w:rPr>
        <w:t xml:space="preserve"> by Ministry of Justice research,</w:t>
      </w:r>
      <w:r w:rsidR="00621E01" w:rsidRPr="00621E01">
        <w:rPr>
          <w:rFonts w:cs="Arial"/>
          <w:bCs/>
          <w:szCs w:val="24"/>
          <w:vertAlign w:val="superscript"/>
        </w:rPr>
        <w:t xml:space="preserve"> </w:t>
      </w:r>
      <w:r w:rsidR="00621E01" w:rsidRPr="00621E01">
        <w:rPr>
          <w:bCs/>
          <w:szCs w:val="24"/>
          <w:vertAlign w:val="superscript"/>
        </w:rPr>
        <w:footnoteReference w:id="27"/>
      </w:r>
      <w:r w:rsidR="00621E01" w:rsidRPr="00621E01">
        <w:rPr>
          <w:szCs w:val="24"/>
        </w:rPr>
        <w:t xml:space="preserve"> </w:t>
      </w:r>
      <w:r w:rsidR="00621E01">
        <w:rPr>
          <w:szCs w:val="24"/>
        </w:rPr>
        <w:t>as well as research by Women’s Aid</w:t>
      </w:r>
      <w:r w:rsidR="00621E01" w:rsidRPr="00621E01">
        <w:rPr>
          <w:bCs/>
          <w:szCs w:val="24"/>
          <w:vertAlign w:val="superscript"/>
        </w:rPr>
        <w:footnoteReference w:id="28"/>
      </w:r>
      <w:r w:rsidR="00CA75C7">
        <w:rPr>
          <w:szCs w:val="24"/>
        </w:rPr>
        <w:t>)</w:t>
      </w:r>
      <w:r w:rsidR="00621E01">
        <w:rPr>
          <w:szCs w:val="24"/>
        </w:rPr>
        <w:t xml:space="preserve"> and there is no reason to think that </w:t>
      </w:r>
      <w:r w:rsidR="00E97CD4">
        <w:rPr>
          <w:szCs w:val="24"/>
        </w:rPr>
        <w:t>judicial discretion</w:t>
      </w:r>
      <w:r w:rsidR="00621E01">
        <w:rPr>
          <w:szCs w:val="24"/>
        </w:rPr>
        <w:t xml:space="preserve"> will be more consistently exercised in the civil courts. </w:t>
      </w:r>
      <w:r w:rsidR="000A630C">
        <w:rPr>
          <w:szCs w:val="24"/>
        </w:rPr>
        <w:t>We therefore recommend automatic eligibility for special measures for survivors in the civil courts, as in the family courts, ensuring consistency of protection across all jurisdictions, as recommended by the Draft Bill Committee.</w:t>
      </w:r>
      <w:r w:rsidR="00580F3D">
        <w:rPr>
          <w:rStyle w:val="FootnoteReference"/>
          <w:szCs w:val="24"/>
        </w:rPr>
        <w:footnoteReference w:id="29"/>
      </w:r>
    </w:p>
    <w:p w14:paraId="1A74F001" w14:textId="77777777" w:rsidR="00A07BD3" w:rsidRPr="00A07BD3" w:rsidRDefault="00A07BD3" w:rsidP="00B758B2">
      <w:pPr>
        <w:spacing w:after="360" w:line="360" w:lineRule="auto"/>
        <w:rPr>
          <w:i/>
          <w:szCs w:val="24"/>
        </w:rPr>
      </w:pPr>
      <w:r>
        <w:rPr>
          <w:i/>
          <w:szCs w:val="24"/>
        </w:rPr>
        <w:t>Cross-examination</w:t>
      </w:r>
    </w:p>
    <w:p w14:paraId="13281F0C" w14:textId="77777777" w:rsidR="00353A3F" w:rsidRPr="00353A3F" w:rsidRDefault="00353A3F" w:rsidP="00353A3F">
      <w:pPr>
        <w:spacing w:after="360" w:line="360" w:lineRule="auto"/>
        <w:rPr>
          <w:szCs w:val="24"/>
        </w:rPr>
      </w:pPr>
      <w:r w:rsidRPr="00353A3F">
        <w:rPr>
          <w:szCs w:val="24"/>
        </w:rPr>
        <w:t>Cross-examination in person in cases where domestic abuse is an issue is well-recognised as being re-traumatising for survivors</w:t>
      </w:r>
      <w:r w:rsidRPr="00353A3F">
        <w:rPr>
          <w:szCs w:val="24"/>
          <w:vertAlign w:val="superscript"/>
        </w:rPr>
        <w:footnoteReference w:id="30"/>
      </w:r>
      <w:r w:rsidRPr="00353A3F">
        <w:rPr>
          <w:szCs w:val="24"/>
        </w:rPr>
        <w:t xml:space="preserve"> and a means by which perpetrators can continue their abuse.</w:t>
      </w:r>
      <w:r w:rsidRPr="00353A3F">
        <w:rPr>
          <w:szCs w:val="24"/>
          <w:vertAlign w:val="superscript"/>
        </w:rPr>
        <w:footnoteReference w:id="31"/>
      </w:r>
      <w:r w:rsidRPr="00353A3F">
        <w:rPr>
          <w:szCs w:val="24"/>
        </w:rPr>
        <w:t xml:space="preserve"> </w:t>
      </w:r>
    </w:p>
    <w:p w14:paraId="053BCA2F" w14:textId="77777777" w:rsidR="00B72FA9" w:rsidRDefault="00B72FA9" w:rsidP="00B758B2">
      <w:pPr>
        <w:spacing w:after="360" w:line="360" w:lineRule="auto"/>
        <w:rPr>
          <w:szCs w:val="24"/>
        </w:rPr>
      </w:pPr>
      <w:r>
        <w:rPr>
          <w:szCs w:val="24"/>
        </w:rPr>
        <w:t xml:space="preserve">Currently, for family proceedings, section 63 of the Bill provides for automatic prohibition of cross-examination in person </w:t>
      </w:r>
      <w:r w:rsidRPr="00B72FA9">
        <w:rPr>
          <w:szCs w:val="24"/>
        </w:rPr>
        <w:t xml:space="preserve">where there is a caution, conviction, charge, injunction </w:t>
      </w:r>
      <w:r>
        <w:rPr>
          <w:szCs w:val="24"/>
        </w:rPr>
        <w:t xml:space="preserve">or specified evidence provided (according to the Bill’s explanatory notes, this is </w:t>
      </w:r>
      <w:r w:rsidRPr="00B72FA9">
        <w:rPr>
          <w:szCs w:val="24"/>
        </w:rPr>
        <w:t>to be along similar lines to that required for le</w:t>
      </w:r>
      <w:r>
        <w:rPr>
          <w:szCs w:val="24"/>
        </w:rPr>
        <w:t>gal aid, e</w:t>
      </w:r>
      <w:r w:rsidR="00CA75C7">
        <w:rPr>
          <w:szCs w:val="24"/>
        </w:rPr>
        <w:t>.</w:t>
      </w:r>
      <w:r>
        <w:rPr>
          <w:szCs w:val="24"/>
        </w:rPr>
        <w:t>g. letter from refuge or</w:t>
      </w:r>
      <w:r w:rsidRPr="00B72FA9">
        <w:rPr>
          <w:szCs w:val="24"/>
        </w:rPr>
        <w:t xml:space="preserve"> docto</w:t>
      </w:r>
      <w:r>
        <w:rPr>
          <w:szCs w:val="24"/>
        </w:rPr>
        <w:t>r). For civil proceedings, section 64 will e</w:t>
      </w:r>
      <w:r w:rsidRPr="00B72FA9">
        <w:rPr>
          <w:szCs w:val="24"/>
        </w:rPr>
        <w:t>nable a court in civil proceedings to give a direction prohibiting a party to the proceedings from cross-examining a witness in person, where either the quality of the witness’s evidence would otherwise be diminished, or such cross-examination would be likely to cause significant d</w:t>
      </w:r>
      <w:r w:rsidR="00263C24">
        <w:rPr>
          <w:szCs w:val="24"/>
        </w:rPr>
        <w:t>istress to the witness or party</w:t>
      </w:r>
      <w:r w:rsidRPr="00B72FA9">
        <w:rPr>
          <w:szCs w:val="24"/>
        </w:rPr>
        <w:t xml:space="preserve"> </w:t>
      </w:r>
      <w:r w:rsidR="00263C24">
        <w:rPr>
          <w:szCs w:val="24"/>
        </w:rPr>
        <w:t>(</w:t>
      </w:r>
      <w:r w:rsidRPr="00B72FA9">
        <w:rPr>
          <w:szCs w:val="24"/>
        </w:rPr>
        <w:t>and it would not be contrary to the interests of justice to give the direction</w:t>
      </w:r>
      <w:r w:rsidR="00263C24">
        <w:rPr>
          <w:szCs w:val="24"/>
        </w:rPr>
        <w:t>)</w:t>
      </w:r>
      <w:r w:rsidR="00DF66FA">
        <w:rPr>
          <w:szCs w:val="24"/>
        </w:rPr>
        <w:t>.</w:t>
      </w:r>
    </w:p>
    <w:p w14:paraId="61C810BD" w14:textId="5D28AA4B" w:rsidR="00DF66FA" w:rsidRDefault="00DF66FA" w:rsidP="00B758B2">
      <w:pPr>
        <w:spacing w:after="360" w:line="360" w:lineRule="auto"/>
        <w:rPr>
          <w:szCs w:val="24"/>
        </w:rPr>
      </w:pPr>
      <w:r>
        <w:rPr>
          <w:szCs w:val="24"/>
        </w:rPr>
        <w:t xml:space="preserve">We </w:t>
      </w:r>
      <w:r w:rsidR="00CA75C7">
        <w:rPr>
          <w:szCs w:val="24"/>
        </w:rPr>
        <w:t>recommend</w:t>
      </w:r>
      <w:r>
        <w:rPr>
          <w:szCs w:val="24"/>
        </w:rPr>
        <w:t xml:space="preserve"> there should be </w:t>
      </w:r>
      <w:r w:rsidR="006268F1">
        <w:rPr>
          <w:szCs w:val="24"/>
        </w:rPr>
        <w:t xml:space="preserve">an </w:t>
      </w:r>
      <w:r>
        <w:rPr>
          <w:szCs w:val="24"/>
        </w:rPr>
        <w:t xml:space="preserve">automatic prohibition of cross-examination in person in all cases where </w:t>
      </w:r>
      <w:r w:rsidR="00175A7C">
        <w:rPr>
          <w:szCs w:val="24"/>
        </w:rPr>
        <w:t>a survivor makes a statutory declaration of domestic abuse</w:t>
      </w:r>
      <w:r>
        <w:rPr>
          <w:szCs w:val="24"/>
        </w:rPr>
        <w:t>, and that this should apply in both the family and civil courts, with an additional discretionary provision in the civil courts where the quality of the witness’s evidence would be diminished or where significant distress would be caused to the witness or party (which would cover other vulnerable witnesses</w:t>
      </w:r>
      <w:r w:rsidR="00263C24">
        <w:rPr>
          <w:szCs w:val="24"/>
        </w:rPr>
        <w:t xml:space="preserve"> accessing the civil courts</w:t>
      </w:r>
      <w:r>
        <w:rPr>
          <w:szCs w:val="24"/>
        </w:rPr>
        <w:t xml:space="preserve">). </w:t>
      </w:r>
    </w:p>
    <w:p w14:paraId="53370E2E" w14:textId="5F2E6530" w:rsidR="00353A3F" w:rsidRPr="00BD1B62" w:rsidRDefault="00F62309" w:rsidP="00B758B2">
      <w:pPr>
        <w:spacing w:after="360" w:line="360" w:lineRule="auto"/>
        <w:rPr>
          <w:szCs w:val="24"/>
        </w:rPr>
      </w:pPr>
      <w:r>
        <w:rPr>
          <w:szCs w:val="24"/>
        </w:rPr>
        <w:t xml:space="preserve">We consider this measure </w:t>
      </w:r>
      <w:r w:rsidR="006268F1">
        <w:rPr>
          <w:szCs w:val="24"/>
        </w:rPr>
        <w:t xml:space="preserve">is </w:t>
      </w:r>
      <w:r>
        <w:rPr>
          <w:szCs w:val="24"/>
        </w:rPr>
        <w:t>important to protect survivors</w:t>
      </w:r>
      <w:r w:rsidR="008E5B83">
        <w:rPr>
          <w:szCs w:val="24"/>
        </w:rPr>
        <w:t xml:space="preserve"> due to the</w:t>
      </w:r>
      <w:r w:rsidR="00353A3F">
        <w:rPr>
          <w:szCs w:val="24"/>
        </w:rPr>
        <w:t xml:space="preserve"> above</w:t>
      </w:r>
      <w:r w:rsidR="008E5B83">
        <w:rPr>
          <w:szCs w:val="24"/>
        </w:rPr>
        <w:t>mentioned low</w:t>
      </w:r>
      <w:r w:rsidR="00353A3F">
        <w:rPr>
          <w:szCs w:val="24"/>
        </w:rPr>
        <w:t xml:space="preserve"> report</w:t>
      </w:r>
      <w:r w:rsidR="008E5B83">
        <w:rPr>
          <w:szCs w:val="24"/>
        </w:rPr>
        <w:t>ing rates.</w:t>
      </w:r>
      <w:r w:rsidR="00882369" w:rsidRPr="00882369">
        <w:rPr>
          <w:szCs w:val="24"/>
          <w:vertAlign w:val="superscript"/>
        </w:rPr>
        <w:t xml:space="preserve"> </w:t>
      </w:r>
      <w:r w:rsidR="00882369" w:rsidRPr="00B9466E">
        <w:rPr>
          <w:szCs w:val="24"/>
          <w:vertAlign w:val="superscript"/>
        </w:rPr>
        <w:footnoteReference w:id="32"/>
      </w:r>
      <w:r w:rsidR="00882369">
        <w:rPr>
          <w:szCs w:val="24"/>
        </w:rPr>
        <w:t xml:space="preserve"> </w:t>
      </w:r>
      <w:r w:rsidR="00353A3F">
        <w:rPr>
          <w:szCs w:val="24"/>
        </w:rPr>
        <w:t xml:space="preserve"> </w:t>
      </w:r>
      <w:r w:rsidR="008E5B83">
        <w:rPr>
          <w:szCs w:val="24"/>
        </w:rPr>
        <w:t>R</w:t>
      </w:r>
      <w:r w:rsidR="00353A3F">
        <w:rPr>
          <w:szCs w:val="24"/>
        </w:rPr>
        <w:t xml:space="preserve">eliance on ‘specified evidence’ can </w:t>
      </w:r>
      <w:r w:rsidR="008E5B83">
        <w:rPr>
          <w:szCs w:val="24"/>
        </w:rPr>
        <w:t xml:space="preserve">also </w:t>
      </w:r>
      <w:r w:rsidR="00353A3F">
        <w:rPr>
          <w:szCs w:val="24"/>
        </w:rPr>
        <w:t>be problematic</w:t>
      </w:r>
      <w:r w:rsidR="008E5B83">
        <w:rPr>
          <w:szCs w:val="24"/>
        </w:rPr>
        <w:t xml:space="preserve"> - </w:t>
      </w:r>
      <w:r w:rsidR="00353A3F">
        <w:rPr>
          <w:szCs w:val="24"/>
        </w:rPr>
        <w:t xml:space="preserve"> many survivors </w:t>
      </w:r>
      <w:r w:rsidR="00B758B2" w:rsidRPr="00353A3F">
        <w:rPr>
          <w:szCs w:val="24"/>
        </w:rPr>
        <w:t>face difficulties in evidencing their abuse, as shown by recent Ministry of Justice research.</w:t>
      </w:r>
      <w:r w:rsidR="00BC2366" w:rsidRPr="00BC2366">
        <w:rPr>
          <w:szCs w:val="24"/>
          <w:vertAlign w:val="superscript"/>
        </w:rPr>
        <w:t xml:space="preserve"> </w:t>
      </w:r>
      <w:r w:rsidR="00BC2366" w:rsidRPr="00353A3F">
        <w:rPr>
          <w:szCs w:val="24"/>
          <w:vertAlign w:val="superscript"/>
        </w:rPr>
        <w:footnoteReference w:id="33"/>
      </w:r>
      <w:r w:rsidR="00BC2366">
        <w:rPr>
          <w:szCs w:val="24"/>
        </w:rPr>
        <w:t xml:space="preserve"> </w:t>
      </w:r>
      <w:r w:rsidR="00B758B2" w:rsidRPr="00353A3F">
        <w:rPr>
          <w:szCs w:val="24"/>
        </w:rPr>
        <w:t xml:space="preserve"> These difficulties include language barriers, unwillingness of or</w:t>
      </w:r>
      <w:r w:rsidR="008E5B83">
        <w:rPr>
          <w:szCs w:val="24"/>
        </w:rPr>
        <w:t>ganisations (a</w:t>
      </w:r>
      <w:r w:rsidR="00B758B2" w:rsidRPr="00353A3F">
        <w:rPr>
          <w:szCs w:val="24"/>
        </w:rPr>
        <w:t>nd health professionals in particular</w:t>
      </w:r>
      <w:r w:rsidR="008E5B83">
        <w:rPr>
          <w:szCs w:val="24"/>
        </w:rPr>
        <w:t>)</w:t>
      </w:r>
      <w:r w:rsidR="00B758B2" w:rsidRPr="00353A3F">
        <w:rPr>
          <w:szCs w:val="24"/>
        </w:rPr>
        <w:t xml:space="preserve"> to write supporting letters</w:t>
      </w:r>
      <w:r w:rsidR="008E5B83">
        <w:rPr>
          <w:szCs w:val="24"/>
        </w:rPr>
        <w:t>,</w:t>
      </w:r>
      <w:r w:rsidR="00B758B2" w:rsidRPr="00353A3F">
        <w:rPr>
          <w:szCs w:val="24"/>
        </w:rPr>
        <w:t xml:space="preserve"> and the fact that a survivor may not have disclosed or reported their abuse at the time to a relevant organisation.</w:t>
      </w:r>
      <w:r w:rsidR="00B758B2" w:rsidRPr="00353A3F">
        <w:rPr>
          <w:szCs w:val="24"/>
          <w:vertAlign w:val="superscript"/>
        </w:rPr>
        <w:footnoteReference w:id="34"/>
      </w:r>
      <w:r w:rsidR="00A22CA2">
        <w:rPr>
          <w:szCs w:val="24"/>
        </w:rPr>
        <w:t xml:space="preserve"> It is important that this also applies in the civil courts, where survivors may find themselves in a variety of civil cases, including, for example, libel cases</w:t>
      </w:r>
      <w:r w:rsidR="00AC54E8">
        <w:rPr>
          <w:rStyle w:val="FootnoteReference"/>
          <w:szCs w:val="24"/>
        </w:rPr>
        <w:footnoteReference w:id="35"/>
      </w:r>
      <w:r w:rsidR="00A22CA2">
        <w:rPr>
          <w:szCs w:val="24"/>
        </w:rPr>
        <w:t xml:space="preserve"> or </w:t>
      </w:r>
      <w:r w:rsidR="00A22CA2" w:rsidRPr="00A22CA2">
        <w:rPr>
          <w:szCs w:val="24"/>
        </w:rPr>
        <w:t>small claims</w:t>
      </w:r>
      <w:r w:rsidR="00A22CA2">
        <w:rPr>
          <w:szCs w:val="24"/>
        </w:rPr>
        <w:t xml:space="preserve"> courts</w:t>
      </w:r>
      <w:r w:rsidR="00A22CA2" w:rsidRPr="00A22CA2">
        <w:rPr>
          <w:szCs w:val="24"/>
        </w:rPr>
        <w:t xml:space="preserve"> where there has been economic abuse and the couple were unmarried</w:t>
      </w:r>
      <w:r w:rsidR="00A22CA2">
        <w:rPr>
          <w:szCs w:val="24"/>
        </w:rPr>
        <w:t>.</w:t>
      </w:r>
      <w:r w:rsidR="00BD1B62">
        <w:rPr>
          <w:szCs w:val="24"/>
        </w:rPr>
        <w:t xml:space="preserve"> </w:t>
      </w:r>
    </w:p>
    <w:p w14:paraId="0227EDA8" w14:textId="77777777" w:rsidR="00684C13" w:rsidRPr="00EB3413" w:rsidRDefault="00EB64F6" w:rsidP="005C7383">
      <w:pPr>
        <w:pStyle w:val="level2section"/>
        <w:numPr>
          <w:ilvl w:val="0"/>
          <w:numId w:val="5"/>
        </w:numPr>
      </w:pPr>
      <w:bookmarkStart w:id="18" w:name="_Toc59194662"/>
      <w:r>
        <w:t>P</w:t>
      </w:r>
      <w:r w:rsidR="00684C13">
        <w:t>rotection for disabled survivors</w:t>
      </w:r>
      <w:r>
        <w:t xml:space="preserve"> subject to coercive control</w:t>
      </w:r>
      <w:bookmarkEnd w:id="18"/>
    </w:p>
    <w:p w14:paraId="50D4EB92" w14:textId="77777777" w:rsidR="00684C13" w:rsidRPr="0034759A" w:rsidRDefault="00684C13" w:rsidP="00155C2C">
      <w:pPr>
        <w:pStyle w:val="mainbodycopy"/>
        <w:rPr>
          <w:b/>
          <w:i/>
        </w:rPr>
      </w:pPr>
      <w:r w:rsidRPr="0034759A">
        <w:rPr>
          <w:b/>
          <w:i/>
        </w:rPr>
        <w:t>Our recommendation</w:t>
      </w:r>
    </w:p>
    <w:p w14:paraId="135E19F5" w14:textId="248FECA5" w:rsidR="00BD6396" w:rsidRDefault="00F952F6" w:rsidP="00155C2C">
      <w:pPr>
        <w:pStyle w:val="mainbodycopy"/>
      </w:pPr>
      <w:r>
        <w:t>We recommend that the ‘best interests’ defence to the crime of coercive control, introduced in the Serious Crime Act 2015, is repealed.</w:t>
      </w:r>
      <w:r w:rsidR="00CA3710" w:rsidRPr="00CA3710">
        <w:rPr>
          <w:rFonts w:cs="Times New Roman"/>
          <w:spacing w:val="0"/>
        </w:rPr>
        <w:t xml:space="preserve"> </w:t>
      </w:r>
      <w:r w:rsidR="00CA3710" w:rsidRPr="00CA3710">
        <w:t>This would help ensure disabled survivors receive equal protection from th</w:t>
      </w:r>
      <w:r w:rsidR="008E5B83">
        <w:t xml:space="preserve">is </w:t>
      </w:r>
      <w:r w:rsidR="00CA3710" w:rsidRPr="00CA3710">
        <w:t>crime</w:t>
      </w:r>
      <w:r w:rsidR="00D326CF">
        <w:t>.</w:t>
      </w:r>
    </w:p>
    <w:p w14:paraId="1C169549" w14:textId="75B0CBAF" w:rsidR="00F87601" w:rsidRPr="0034759A" w:rsidRDefault="00684C13" w:rsidP="00155C2C">
      <w:pPr>
        <w:pStyle w:val="mainbodycopy"/>
        <w:rPr>
          <w:b/>
          <w:i/>
        </w:rPr>
      </w:pPr>
      <w:r w:rsidRPr="0034759A">
        <w:rPr>
          <w:b/>
          <w:i/>
        </w:rPr>
        <w:t xml:space="preserve">Why </w:t>
      </w:r>
      <w:r w:rsidR="00D326CF">
        <w:rPr>
          <w:b/>
          <w:i/>
        </w:rPr>
        <w:t xml:space="preserve">is </w:t>
      </w:r>
      <w:r w:rsidRPr="0034759A">
        <w:rPr>
          <w:b/>
          <w:i/>
        </w:rPr>
        <w:t>this change to the Bill needed?</w:t>
      </w:r>
    </w:p>
    <w:p w14:paraId="2969DDB9" w14:textId="77777777" w:rsidR="00F87601" w:rsidRDefault="00F87601" w:rsidP="00F87601">
      <w:pPr>
        <w:pStyle w:val="mainbodycopy"/>
        <w:rPr>
          <w:b/>
        </w:rPr>
      </w:pPr>
      <w:r w:rsidRPr="00F87601">
        <w:t xml:space="preserve">The Serious Crime Act 2015 (SCA) introduced the crime of coercive and controlling behaviour. </w:t>
      </w:r>
      <w:r>
        <w:t>T</w:t>
      </w:r>
      <w:r w:rsidRPr="00F87601">
        <w:t xml:space="preserve">he following conditions must be met for </w:t>
      </w:r>
      <w:r w:rsidR="00CA3710">
        <w:t>this</w:t>
      </w:r>
      <w:r w:rsidR="00CA3710" w:rsidRPr="00F87601">
        <w:t xml:space="preserve"> </w:t>
      </w:r>
      <w:r w:rsidRPr="00F87601">
        <w:t>crime to take place:</w:t>
      </w:r>
      <w:r>
        <w:t xml:space="preserve"> </w:t>
      </w:r>
      <w:r w:rsidRPr="00F87601">
        <w:t>a person (A) must repeatedly engage in behaviour towards another person (B) that is controlling or coercive; the behaviour by person A must have a serious effect on person B; and</w:t>
      </w:r>
      <w:r>
        <w:t xml:space="preserve"> </w:t>
      </w:r>
      <w:r w:rsidRPr="00F87601">
        <w:t>person A must know, or ought to know, that the behaviour will have a serious effect on person B. There are two ways in which it can be p</w:t>
      </w:r>
      <w:r w:rsidR="00FA746B">
        <w:t xml:space="preserve">roved that the behaviour has a </w:t>
      </w:r>
      <w:r w:rsidRPr="00F87601">
        <w:t>serious effect on person B:</w:t>
      </w:r>
      <w:r w:rsidR="001702FB">
        <w:t xml:space="preserve"> (i)</w:t>
      </w:r>
      <w:r>
        <w:t xml:space="preserve"> i</w:t>
      </w:r>
      <w:r w:rsidRPr="00F87601">
        <w:t xml:space="preserve">t causes person B to fear, on at least two occasions, that violence will be </w:t>
      </w:r>
      <w:r>
        <w:t>used against them (S76(4a)); or</w:t>
      </w:r>
      <w:r w:rsidR="001702FB">
        <w:t xml:space="preserve"> (ii)</w:t>
      </w:r>
      <w:r>
        <w:t xml:space="preserve"> i</w:t>
      </w:r>
      <w:r w:rsidRPr="00F87601">
        <w:t>t causes person B serious alarm or distress which has a substantial effect on their day to day activities (S76 (4b)).</w:t>
      </w:r>
      <w:r w:rsidRPr="00F87601">
        <w:rPr>
          <w:b/>
        </w:rPr>
        <w:t xml:space="preserve"> </w:t>
      </w:r>
    </w:p>
    <w:p w14:paraId="5D6BD1A1" w14:textId="77777777" w:rsidR="00F87601" w:rsidRDefault="00345C53" w:rsidP="00F87601">
      <w:pPr>
        <w:pStyle w:val="mainbodycopy"/>
      </w:pPr>
      <w:r>
        <w:t xml:space="preserve">However, </w:t>
      </w:r>
      <w:r w:rsidR="00F87601">
        <w:t xml:space="preserve">Section 76 (subsections 8-10) of the SCA sets out a defence which allows an alleged perpetrator to defend their actions by if they can show that: (a) they believed they were acting in the best interests of the victim; and (b) that the behaviour was in all circumstances reasonable. </w:t>
      </w:r>
      <w:r w:rsidR="00F87601" w:rsidRPr="00F87601">
        <w:t xml:space="preserve">The legislation specifies that this defence cannot apply in relation to behaviour that causes person B to fear that violence will be used against them, </w:t>
      </w:r>
      <w:r w:rsidR="00F87601">
        <w:t>but the defence does apply</w:t>
      </w:r>
      <w:r w:rsidR="00F87601" w:rsidRPr="00F87601">
        <w:t xml:space="preserve"> to behaviour that causes person B “serious alarm or distress which has a substantial adverse effect on their day to day activities”.</w:t>
      </w:r>
    </w:p>
    <w:p w14:paraId="0C55FC03" w14:textId="77777777" w:rsidR="00F87601" w:rsidRPr="00F87601" w:rsidRDefault="00F87601" w:rsidP="00F87601">
      <w:pPr>
        <w:pStyle w:val="mainbodycopy"/>
      </w:pPr>
      <w:r w:rsidRPr="00F87601">
        <w:t>Examples given in the explanatory notes to the act are: “circumstances where a person was a carer for a mentally ill spouse, and by virtue of his or her medical condition, he or she had to be kept at home or compelled to take medication, for his or her own protection or in his or her own best interests.”</w:t>
      </w:r>
      <w:r w:rsidR="00FA746B">
        <w:rPr>
          <w:rStyle w:val="FootnoteReference"/>
        </w:rPr>
        <w:footnoteReference w:id="36"/>
      </w:r>
    </w:p>
    <w:p w14:paraId="59B1AF7E" w14:textId="4FBFC5DA" w:rsidR="00345C53" w:rsidRDefault="00F87601" w:rsidP="001C3195">
      <w:pPr>
        <w:pStyle w:val="mainbodycopy"/>
      </w:pPr>
      <w:r w:rsidRPr="00F87601">
        <w:t xml:space="preserve">We </w:t>
      </w:r>
      <w:r w:rsidR="00FA746B">
        <w:t>are concerned that</w:t>
      </w:r>
      <w:r w:rsidRPr="00F87601">
        <w:t xml:space="preserve"> this defence</w:t>
      </w:r>
      <w:r w:rsidR="00345C53">
        <w:t xml:space="preserve"> provides an overly broad defence for behaviour amount</w:t>
      </w:r>
      <w:r w:rsidR="00BF15C4">
        <w:t>ing</w:t>
      </w:r>
      <w:r w:rsidR="00345C53">
        <w:t xml:space="preserve"> to coercive control. </w:t>
      </w:r>
      <w:r w:rsidR="00345C53" w:rsidRPr="00BD6396">
        <w:t>The defence risks negatively impacting on disabled victims and survivors</w:t>
      </w:r>
      <w:r w:rsidR="00345C53">
        <w:t xml:space="preserve"> and</w:t>
      </w:r>
      <w:r w:rsidR="00FA746B">
        <w:t xml:space="preserve"> being </w:t>
      </w:r>
      <w:r w:rsidR="00BF15C4">
        <w:t xml:space="preserve">exploited by abusers and </w:t>
      </w:r>
      <w:r w:rsidR="00FA746B">
        <w:t xml:space="preserve">wrongly used to protect </w:t>
      </w:r>
      <w:r w:rsidR="00BF15C4">
        <w:t>them</w:t>
      </w:r>
      <w:r w:rsidR="00345C53">
        <w:t>.</w:t>
      </w:r>
      <w:r w:rsidR="00B2044D">
        <w:t xml:space="preserve"> Disabled women are already disproportionately impacted by domestic abuse</w:t>
      </w:r>
      <w:r w:rsidR="00372AFD">
        <w:t>.</w:t>
      </w:r>
      <w:r w:rsidR="001702FB">
        <w:rPr>
          <w:rStyle w:val="FootnoteReference"/>
        </w:rPr>
        <w:footnoteReference w:id="37"/>
      </w:r>
      <w:r w:rsidR="001C3195">
        <w:t xml:space="preserve"> They are </w:t>
      </w:r>
      <w:r w:rsidR="00B2044D">
        <w:t>over twice as likely to experience domestic abuse compared to non-</w:t>
      </w:r>
      <w:r w:rsidR="001C3195">
        <w:t>disabled women</w:t>
      </w:r>
      <w:r w:rsidR="00B2044D">
        <w:rPr>
          <w:rStyle w:val="FootnoteReference"/>
        </w:rPr>
        <w:footnoteReference w:id="38"/>
      </w:r>
      <w:r w:rsidR="001C3195">
        <w:t xml:space="preserve"> and </w:t>
      </w:r>
      <w:r w:rsidR="001C3195" w:rsidRPr="001C3195">
        <w:t>four times more likely to report abuse from multiple perpetrators</w:t>
      </w:r>
      <w:r w:rsidR="00372AFD">
        <w:t>.</w:t>
      </w:r>
      <w:r w:rsidR="001C3195" w:rsidRPr="001C3195">
        <w:rPr>
          <w:vertAlign w:val="superscript"/>
        </w:rPr>
        <w:footnoteReference w:id="39"/>
      </w:r>
      <w:r w:rsidR="001C3195" w:rsidRPr="001C3195">
        <w:t xml:space="preserve"> </w:t>
      </w:r>
      <w:r w:rsidR="00D326CF">
        <w:t xml:space="preserve">The charity </w:t>
      </w:r>
      <w:r w:rsidR="00345C53">
        <w:t xml:space="preserve">Stay Safe East, which supports disabled survivors of domestic abuse, </w:t>
      </w:r>
      <w:r w:rsidR="00372AFD">
        <w:t>considers</w:t>
      </w:r>
      <w:r w:rsidR="00345C53">
        <w:t xml:space="preserve"> that the defence: “has the potential to prolong the abuse of disabled victims, to prevent victims getting justice and disadvantages disabled victims of coercive control.”</w:t>
      </w:r>
      <w:r w:rsidR="00345C53">
        <w:rPr>
          <w:rStyle w:val="FootnoteReference"/>
        </w:rPr>
        <w:footnoteReference w:id="40"/>
      </w:r>
      <w:r w:rsidR="001C3195">
        <w:t xml:space="preserve"> This is particularly concerning in a context where disabled survivors already experience abuse for longer before seeking help.</w:t>
      </w:r>
      <w:r w:rsidR="001C3195">
        <w:rPr>
          <w:rStyle w:val="FootnoteReference"/>
        </w:rPr>
        <w:footnoteReference w:id="41"/>
      </w:r>
    </w:p>
    <w:p w14:paraId="10A65BA7" w14:textId="13DA0045" w:rsidR="00F87601" w:rsidRDefault="00345C53" w:rsidP="00F87601">
      <w:pPr>
        <w:pStyle w:val="mainbodycopy"/>
      </w:pPr>
      <w:r>
        <w:t>T</w:t>
      </w:r>
      <w:r w:rsidR="00F87601" w:rsidRPr="00F87601">
        <w:t xml:space="preserve">here is already a statutory framework in place to involve professionals where a person may lack capacity and require medication or </w:t>
      </w:r>
      <w:r w:rsidR="00126052">
        <w:t>confinement</w:t>
      </w:r>
      <w:r w:rsidR="00126052" w:rsidRPr="00F87601">
        <w:t xml:space="preserve"> </w:t>
      </w:r>
      <w:r w:rsidR="00F87601" w:rsidRPr="00F87601">
        <w:t>(i</w:t>
      </w:r>
      <w:r>
        <w:t>.</w:t>
      </w:r>
      <w:r w:rsidR="00F87601" w:rsidRPr="00F87601">
        <w:t>e. the procedures under the Mental Capacity Act or the Mental Health Act)</w:t>
      </w:r>
      <w:r w:rsidR="00126052">
        <w:t xml:space="preserve"> and protection from criminal liability for carers of people who lack capacity</w:t>
      </w:r>
      <w:r w:rsidR="00F13E57">
        <w:t>.</w:t>
      </w:r>
      <w:r w:rsidR="00126052">
        <w:rPr>
          <w:rStyle w:val="FootnoteReference"/>
        </w:rPr>
        <w:footnoteReference w:id="42"/>
      </w:r>
      <w:r w:rsidR="00F87601" w:rsidRPr="00F87601">
        <w:t xml:space="preserve">  Should a person not lack capacity, then they have a right to refuse medication </w:t>
      </w:r>
      <w:r w:rsidR="00C517C3">
        <w:t>or other treatment</w:t>
      </w:r>
      <w:r w:rsidR="00967366">
        <w:t>/restraints</w:t>
      </w:r>
      <w:r>
        <w:t>. Nobody</w:t>
      </w:r>
      <w:r w:rsidR="00F87601" w:rsidRPr="00F87601">
        <w:t xml:space="preserve"> should be subject to coercive and controlling behaviour by a spouse or carer</w:t>
      </w:r>
      <w:r w:rsidR="008E5B83">
        <w:t>,</w:t>
      </w:r>
      <w:r>
        <w:t xml:space="preserve"> and the law should not provide lesser protection for disabled people</w:t>
      </w:r>
      <w:r w:rsidR="00F87601" w:rsidRPr="00F87601">
        <w:t>.</w:t>
      </w:r>
      <w:r>
        <w:t xml:space="preserve"> As well as enabling potential abusers to justify their behaviour</w:t>
      </w:r>
      <w:r>
        <w:rPr>
          <w:rStyle w:val="FootnoteReference"/>
        </w:rPr>
        <w:footnoteReference w:id="43"/>
      </w:r>
      <w:r>
        <w:t xml:space="preserve"> by claiming they were acting in a disabled person’s best interest, the defence feeds into stereotypes about disabled people </w:t>
      </w:r>
      <w:r w:rsidR="008E5B83">
        <w:t>la</w:t>
      </w:r>
      <w:r w:rsidR="00C06513">
        <w:t>cking autonomy</w:t>
      </w:r>
      <w:r>
        <w:t>.</w:t>
      </w:r>
      <w:r w:rsidR="00967366">
        <w:t xml:space="preserve"> </w:t>
      </w:r>
    </w:p>
    <w:p w14:paraId="5916D834" w14:textId="0FBC3802" w:rsidR="00CB212C" w:rsidRDefault="00576ED7" w:rsidP="00F87601">
      <w:pPr>
        <w:pStyle w:val="mainbodycopy"/>
      </w:pPr>
      <w:r w:rsidRPr="00576ED7">
        <w:t>We recognise that carers often face challenging situations and that support for them is lacking. However, as the Carers Trust has said to us, the answer is to make better provision for services that support carers and ensure access to the relevant procedures under the Mental Capacity Act or Mental Health Act. In this context, the Carers Trust states that “unpaid carers need better services and support. Fully funding, implementing and enforcing legislation and guidance which protects unpaid carers’ rights and entitlements under such legislation as the Care Act, the Mental Capacity Act and the Mental Health Act would achieve this.”</w:t>
      </w:r>
      <w:r>
        <w:rPr>
          <w:rStyle w:val="FootnoteReference"/>
        </w:rPr>
        <w:footnoteReference w:id="44"/>
      </w:r>
      <w:r w:rsidRPr="00576ED7">
        <w:t xml:space="preserve"> The answer to the challenges faced by carers does not lie in providing a potential loophole for the abuse of disabled survivors</w:t>
      </w:r>
      <w:r w:rsidR="002177DB">
        <w:t>.</w:t>
      </w:r>
    </w:p>
    <w:p w14:paraId="5C71281E" w14:textId="77777777" w:rsidR="00372AFD" w:rsidRDefault="00372AFD" w:rsidP="00372AFD">
      <w:pPr>
        <w:pStyle w:val="mainbodycopy"/>
      </w:pPr>
      <w:r>
        <w:t>We therefore recommend that the Domestic Abuse Bill is amended to include a provision repealing Section 76 SCA.</w:t>
      </w:r>
    </w:p>
    <w:p w14:paraId="7C1CEFF2" w14:textId="741A4830" w:rsidR="00FE5504" w:rsidRPr="00FE5504" w:rsidRDefault="00FE5504" w:rsidP="005C7383">
      <w:pPr>
        <w:pStyle w:val="level2section"/>
        <w:numPr>
          <w:ilvl w:val="0"/>
          <w:numId w:val="5"/>
        </w:numPr>
      </w:pPr>
      <w:bookmarkStart w:id="19" w:name="_Toc59194663"/>
      <w:r w:rsidRPr="00FE5504">
        <w:t xml:space="preserve">Reference to </w:t>
      </w:r>
      <w:r w:rsidR="00E92C1B">
        <w:t>violence against women and girls</w:t>
      </w:r>
      <w:r w:rsidRPr="00FE5504">
        <w:t xml:space="preserve"> strategy</w:t>
      </w:r>
      <w:bookmarkEnd w:id="19"/>
      <w:r w:rsidRPr="00FE5504">
        <w:t xml:space="preserve"> </w:t>
      </w:r>
    </w:p>
    <w:p w14:paraId="7D2E0A13" w14:textId="77777777" w:rsidR="00FE5504" w:rsidRPr="00FE5504" w:rsidRDefault="00FE5504" w:rsidP="00FE5504">
      <w:pPr>
        <w:pStyle w:val="mainbodycopy"/>
        <w:rPr>
          <w:b/>
        </w:rPr>
      </w:pPr>
      <w:r w:rsidRPr="00FE5504">
        <w:rPr>
          <w:b/>
        </w:rPr>
        <w:t>Our recommendation</w:t>
      </w:r>
    </w:p>
    <w:p w14:paraId="6A458225" w14:textId="77777777" w:rsidR="00FE5504" w:rsidRPr="00FE5504" w:rsidRDefault="00FE5504" w:rsidP="00FE5504">
      <w:pPr>
        <w:pStyle w:val="mainbodycopy"/>
        <w:rPr>
          <w:iCs/>
        </w:rPr>
      </w:pPr>
      <w:r w:rsidRPr="00FE5504">
        <w:t xml:space="preserve">We recommend that guidance issued under the Bill must take into account </w:t>
      </w:r>
      <w:r w:rsidRPr="00FE5504">
        <w:rPr>
          <w:iCs/>
        </w:rPr>
        <w:t>any strategy to end violence against women and girls adopted by a Minister of the Crown, and that clause 73 of the Bill should be amended to require this.</w:t>
      </w:r>
    </w:p>
    <w:p w14:paraId="079EC067" w14:textId="77777777" w:rsidR="00FE5504" w:rsidRPr="00FE5504" w:rsidRDefault="00FE5504" w:rsidP="00FE5504">
      <w:pPr>
        <w:pStyle w:val="mainbodycopy"/>
        <w:rPr>
          <w:b/>
          <w:iCs/>
        </w:rPr>
      </w:pPr>
      <w:r w:rsidRPr="00FE5504">
        <w:rPr>
          <w:b/>
          <w:iCs/>
        </w:rPr>
        <w:t>Why is this change to the Bill needed?</w:t>
      </w:r>
    </w:p>
    <w:p w14:paraId="658C6436" w14:textId="4FB2E22F" w:rsidR="002177DB" w:rsidRPr="00980458" w:rsidRDefault="00FE5504" w:rsidP="00EB3413">
      <w:pPr>
        <w:pStyle w:val="mainbodycopy"/>
      </w:pPr>
      <w:r w:rsidRPr="00FE5504">
        <w:t>Domestic abuse is a gendered crime, and a form of violence against women and girls (which is both a cause and consequence of gender inequality).</w:t>
      </w:r>
      <w:r w:rsidRPr="00FE5504">
        <w:rPr>
          <w:vertAlign w:val="superscript"/>
        </w:rPr>
        <w:footnoteReference w:id="45"/>
      </w:r>
      <w:r w:rsidRPr="00FE5504">
        <w:t xml:space="preserve"> Whilst men can and do experience domestic abuse, women are disproportionately impacted: they are more likely to experience domestic abuse, and also more likely to experience repeated victimisation and to be seriously hurt or killed than male victims of domestic abuse.</w:t>
      </w:r>
      <w:r w:rsidRPr="00FE5504">
        <w:rPr>
          <w:vertAlign w:val="superscript"/>
        </w:rPr>
        <w:footnoteReference w:id="46"/>
      </w:r>
      <w:r w:rsidR="006268F1">
        <w:t xml:space="preserve"> Domestic abuse also overlaps </w:t>
      </w:r>
      <w:r w:rsidR="001B0955">
        <w:t>and is</w:t>
      </w:r>
      <w:r w:rsidR="006268F1">
        <w:t xml:space="preserve"> connected </w:t>
      </w:r>
      <w:r w:rsidR="001B0955">
        <w:t>with</w:t>
      </w:r>
      <w:r w:rsidR="006268F1">
        <w:t xml:space="preserve"> many other VAWG crimes such as rape, forced marriage and stalking. </w:t>
      </w:r>
      <w:r w:rsidRPr="00FE5504">
        <w:t>It is therefore important that any guidance issued under the Bill take</w:t>
      </w:r>
      <w:r w:rsidR="006268F1">
        <w:t>s</w:t>
      </w:r>
      <w:r w:rsidRPr="00FE5504">
        <w:t xml:space="preserve"> into account the cross-government VAWG strategy, </w:t>
      </w:r>
      <w:r w:rsidR="006268F1">
        <w:rPr>
          <w:iCs/>
        </w:rPr>
        <w:t xml:space="preserve">so that prevention and response measures are informed by and recognise the </w:t>
      </w:r>
      <w:r w:rsidR="006268F1" w:rsidRPr="0047021B">
        <w:rPr>
          <w:iCs/>
        </w:rPr>
        <w:t xml:space="preserve">gendered </w:t>
      </w:r>
      <w:r w:rsidR="006268F1">
        <w:rPr>
          <w:iCs/>
        </w:rPr>
        <w:t xml:space="preserve">and overlapping nature of domestic abuse alongside other forms of </w:t>
      </w:r>
      <w:r w:rsidR="006268F1" w:rsidRPr="0047021B">
        <w:rPr>
          <w:iCs/>
        </w:rPr>
        <w:t>VAWG</w:t>
      </w:r>
      <w:r w:rsidR="00980458">
        <w:rPr>
          <w:iCs/>
        </w:rPr>
        <w:t>.</w:t>
      </w:r>
    </w:p>
    <w:p w14:paraId="290C7607" w14:textId="77777777" w:rsidR="00980458" w:rsidRDefault="00980458">
      <w:pPr>
        <w:spacing w:after="160" w:line="259" w:lineRule="auto"/>
        <w:rPr>
          <w:rFonts w:cs="Arial"/>
          <w:b/>
          <w:spacing w:val="3"/>
          <w:szCs w:val="24"/>
        </w:rPr>
      </w:pPr>
      <w:r>
        <w:rPr>
          <w:b/>
        </w:rPr>
        <w:br w:type="page"/>
      </w:r>
    </w:p>
    <w:p w14:paraId="69A10972" w14:textId="3306DB01" w:rsidR="00005749" w:rsidRPr="008E5B83" w:rsidRDefault="00005749" w:rsidP="00EB3413">
      <w:pPr>
        <w:pStyle w:val="mainbodycopy"/>
        <w:rPr>
          <w:b/>
        </w:rPr>
      </w:pPr>
      <w:r w:rsidRPr="008E5B83">
        <w:rPr>
          <w:b/>
        </w:rPr>
        <w:t>Fu</w:t>
      </w:r>
      <w:r w:rsidR="008E5B83" w:rsidRPr="008E5B83">
        <w:rPr>
          <w:b/>
        </w:rPr>
        <w:t>r</w:t>
      </w:r>
      <w:r w:rsidRPr="008E5B83">
        <w:rPr>
          <w:b/>
        </w:rPr>
        <w:t>ther information</w:t>
      </w:r>
      <w:bookmarkEnd w:id="13"/>
      <w:bookmarkEnd w:id="14"/>
      <w:bookmarkEnd w:id="15"/>
      <w:bookmarkEnd w:id="16"/>
    </w:p>
    <w:p w14:paraId="61F43932" w14:textId="77777777" w:rsidR="00005749" w:rsidRDefault="00005749" w:rsidP="00DD3D0F">
      <w:pPr>
        <w:rPr>
          <w:b/>
          <w:bCs/>
        </w:rPr>
      </w:pPr>
      <w:r w:rsidRPr="00DD3D0F">
        <w:t xml:space="preserve">The Equality and Human Rights Commission is a statutory body established under the Equality Act 2006. Find out more about </w:t>
      </w:r>
      <w:r w:rsidR="00593772">
        <w:t>our</w:t>
      </w:r>
      <w:r w:rsidRPr="00DD3D0F">
        <w:t xml:space="preserve"> work </w:t>
      </w:r>
      <w:r w:rsidR="00F35CA1" w:rsidRPr="00DD3D0F">
        <w:t xml:space="preserve">on </w:t>
      </w:r>
      <w:r w:rsidR="00593772">
        <w:t>the</w:t>
      </w:r>
      <w:r w:rsidR="00F35CA1" w:rsidRPr="00DD3D0F">
        <w:rPr>
          <w:sz w:val="28"/>
        </w:rPr>
        <w:t xml:space="preserve"> </w:t>
      </w:r>
      <w:hyperlink r:id="rId11" w:history="1">
        <w:r w:rsidR="00593772" w:rsidRPr="00593772">
          <w:rPr>
            <w:rStyle w:val="Hyperlink"/>
            <w:color w:val="0B4E60"/>
          </w:rPr>
          <w:t>Equality and Human Rights Com</w:t>
        </w:r>
        <w:r w:rsidR="00593772" w:rsidRPr="00740F05">
          <w:rPr>
            <w:rStyle w:val="Hyperlink"/>
            <w:color w:val="0B4E60"/>
          </w:rPr>
          <w:t>miss</w:t>
        </w:r>
        <w:r w:rsidR="00593772" w:rsidRPr="00593772">
          <w:rPr>
            <w:rStyle w:val="Hyperlink"/>
            <w:color w:val="0B4E60"/>
          </w:rPr>
          <w:t>ion w</w:t>
        </w:r>
        <w:r w:rsidR="00F35CA1" w:rsidRPr="00593772">
          <w:rPr>
            <w:rStyle w:val="Hyperlink"/>
            <w:color w:val="0B4E60"/>
          </w:rPr>
          <w:t>ebsite</w:t>
        </w:r>
      </w:hyperlink>
      <w:r w:rsidR="00F35CA1" w:rsidRPr="00DD3D0F">
        <w:rPr>
          <w:b/>
          <w:bCs/>
        </w:rPr>
        <w:t>.</w:t>
      </w:r>
    </w:p>
    <w:p w14:paraId="71432ABF" w14:textId="77777777" w:rsidR="00593772" w:rsidRPr="00DD3D0F" w:rsidRDefault="00593772" w:rsidP="00DD3D0F">
      <w:pPr>
        <w:rPr>
          <w:b/>
          <w:bCs/>
          <w:sz w:val="28"/>
        </w:rPr>
      </w:pPr>
    </w:p>
    <w:p w14:paraId="38CBDDB2" w14:textId="77777777" w:rsidR="00005749" w:rsidRPr="00DD3D0F" w:rsidRDefault="00005749" w:rsidP="00DD3D0F">
      <w:r w:rsidRPr="00DD3D0F">
        <w:t xml:space="preserve">For more information, please contact: </w:t>
      </w:r>
    </w:p>
    <w:p w14:paraId="4FD384FD" w14:textId="13337633" w:rsidR="005E166B" w:rsidRDefault="00740F05" w:rsidP="00DD3D0F">
      <w:r>
        <w:t>Emily Hindle</w:t>
      </w:r>
      <w:r w:rsidR="005E166B">
        <w:t xml:space="preserve">, </w:t>
      </w:r>
      <w:r>
        <w:t>Senior Associate</w:t>
      </w:r>
      <w:r w:rsidR="005E166B">
        <w:t xml:space="preserve">, Policy </w:t>
      </w:r>
    </w:p>
    <w:p w14:paraId="00A1BAE7" w14:textId="77777777" w:rsidR="005E166B" w:rsidRDefault="00026464" w:rsidP="00DD3D0F">
      <w:hyperlink r:id="rId12" w:history="1">
        <w:r w:rsidR="00740F05" w:rsidRPr="00740F05">
          <w:rPr>
            <w:rStyle w:val="Hyperlink"/>
            <w:color w:val="0B4E60"/>
          </w:rPr>
          <w:t>Emily.Hindle@equalityhumanrights.com</w:t>
        </w:r>
      </w:hyperlink>
      <w:r w:rsidR="00740F05">
        <w:t xml:space="preserve"> </w:t>
      </w:r>
    </w:p>
    <w:p w14:paraId="2B57BA1C" w14:textId="0EEE304C" w:rsidR="001B0F8C" w:rsidRDefault="00740F05" w:rsidP="00992EF4">
      <w:pPr>
        <w:rPr>
          <w:bCs/>
        </w:rPr>
      </w:pPr>
      <w:r w:rsidRPr="00740F05">
        <w:rPr>
          <w:bCs/>
        </w:rPr>
        <w:t>0207 832 7895</w:t>
      </w:r>
      <w:bookmarkEnd w:id="9"/>
    </w:p>
    <w:p w14:paraId="5F8B8C1A" w14:textId="77777777" w:rsidR="00093759" w:rsidRDefault="00093759">
      <w:pPr>
        <w:spacing w:after="160" w:line="259" w:lineRule="auto"/>
        <w:rPr>
          <w:bCs/>
        </w:rPr>
      </w:pPr>
    </w:p>
    <w:sectPr w:rsidR="00093759" w:rsidSect="00A632FC">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50E32" w14:textId="77777777" w:rsidR="005F2564" w:rsidRDefault="005F2564">
      <w:pPr>
        <w:spacing w:line="240" w:lineRule="auto"/>
      </w:pPr>
      <w:r>
        <w:separator/>
      </w:r>
    </w:p>
  </w:endnote>
  <w:endnote w:type="continuationSeparator" w:id="0">
    <w:p w14:paraId="2AB1C381" w14:textId="77777777" w:rsidR="005F2564" w:rsidRDefault="005F2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11649" w14:textId="77777777" w:rsidR="00110D81" w:rsidRPr="00A753C4" w:rsidRDefault="00110D81">
    <w:pPr>
      <w:jc w:val="center"/>
    </w:pPr>
  </w:p>
  <w:p w14:paraId="43E0C177" w14:textId="77777777" w:rsidR="00110D81" w:rsidRDefault="00110D8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881670"/>
      <w:docPartObj>
        <w:docPartGallery w:val="Page Numbers (Bottom of Page)"/>
        <w:docPartUnique/>
      </w:docPartObj>
    </w:sdtPr>
    <w:sdtEndPr>
      <w:rPr>
        <w:rFonts w:ascii="Arial" w:hAnsi="Arial" w:cs="Arial"/>
        <w:noProof/>
        <w:sz w:val="24"/>
        <w:szCs w:val="24"/>
      </w:rPr>
    </w:sdtEndPr>
    <w:sdtContent>
      <w:p w14:paraId="3C93BB2B" w14:textId="339355AE" w:rsidR="00110D81" w:rsidRPr="00A632FC" w:rsidRDefault="00110D81">
        <w:pPr>
          <w:pStyle w:val="Footer"/>
          <w:jc w:val="right"/>
          <w:rPr>
            <w:rFonts w:ascii="Arial" w:hAnsi="Arial" w:cs="Arial"/>
            <w:sz w:val="24"/>
            <w:szCs w:val="24"/>
          </w:rPr>
        </w:pPr>
        <w:r w:rsidRPr="00A632FC">
          <w:rPr>
            <w:rFonts w:ascii="Arial" w:hAnsi="Arial" w:cs="Arial"/>
            <w:sz w:val="24"/>
            <w:szCs w:val="24"/>
          </w:rPr>
          <w:fldChar w:fldCharType="begin"/>
        </w:r>
        <w:r w:rsidRPr="00A632FC">
          <w:rPr>
            <w:rFonts w:ascii="Arial" w:hAnsi="Arial" w:cs="Arial"/>
            <w:sz w:val="24"/>
            <w:szCs w:val="24"/>
          </w:rPr>
          <w:instrText xml:space="preserve"> PAGE   \* MERGEFORMAT </w:instrText>
        </w:r>
        <w:r w:rsidRPr="00A632FC">
          <w:rPr>
            <w:rFonts w:ascii="Arial" w:hAnsi="Arial" w:cs="Arial"/>
            <w:sz w:val="24"/>
            <w:szCs w:val="24"/>
          </w:rPr>
          <w:fldChar w:fldCharType="separate"/>
        </w:r>
        <w:r w:rsidR="00026464">
          <w:rPr>
            <w:rFonts w:ascii="Arial" w:hAnsi="Arial" w:cs="Arial"/>
            <w:noProof/>
            <w:sz w:val="24"/>
            <w:szCs w:val="24"/>
          </w:rPr>
          <w:t>2</w:t>
        </w:r>
        <w:r w:rsidRPr="00A632FC">
          <w:rPr>
            <w:rFonts w:ascii="Arial" w:hAnsi="Arial" w:cs="Arial"/>
            <w:noProof/>
            <w:sz w:val="24"/>
            <w:szCs w:val="24"/>
          </w:rPr>
          <w:fldChar w:fldCharType="end"/>
        </w:r>
      </w:p>
    </w:sdtContent>
  </w:sdt>
  <w:p w14:paraId="0A8032BF" w14:textId="77777777" w:rsidR="00110D81" w:rsidRDefault="00110D81" w:rsidP="0027696D">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890771"/>
      <w:docPartObj>
        <w:docPartGallery w:val="Page Numbers (Bottom of Page)"/>
        <w:docPartUnique/>
      </w:docPartObj>
    </w:sdtPr>
    <w:sdtEndPr>
      <w:rPr>
        <w:noProof/>
      </w:rPr>
    </w:sdtEndPr>
    <w:sdtContent>
      <w:p w14:paraId="2E9CA4AB" w14:textId="37F91A21" w:rsidR="00110D81" w:rsidRDefault="00110D81">
        <w:pPr>
          <w:pStyle w:val="Footer"/>
          <w:jc w:val="right"/>
        </w:pPr>
        <w:r w:rsidRPr="00A632FC">
          <w:rPr>
            <w:rFonts w:ascii="Arial" w:hAnsi="Arial" w:cs="Arial"/>
            <w:sz w:val="24"/>
            <w:szCs w:val="24"/>
          </w:rPr>
          <w:fldChar w:fldCharType="begin"/>
        </w:r>
        <w:r w:rsidRPr="00A632FC">
          <w:rPr>
            <w:rFonts w:ascii="Arial" w:hAnsi="Arial" w:cs="Arial"/>
            <w:sz w:val="24"/>
            <w:szCs w:val="24"/>
          </w:rPr>
          <w:instrText xml:space="preserve"> PAGE   \* MERGEFORMAT </w:instrText>
        </w:r>
        <w:r w:rsidRPr="00A632FC">
          <w:rPr>
            <w:rFonts w:ascii="Arial" w:hAnsi="Arial" w:cs="Arial"/>
            <w:sz w:val="24"/>
            <w:szCs w:val="24"/>
          </w:rPr>
          <w:fldChar w:fldCharType="separate"/>
        </w:r>
        <w:r w:rsidR="00026464">
          <w:rPr>
            <w:rFonts w:ascii="Arial" w:hAnsi="Arial" w:cs="Arial"/>
            <w:noProof/>
            <w:sz w:val="24"/>
            <w:szCs w:val="24"/>
          </w:rPr>
          <w:t>1</w:t>
        </w:r>
        <w:r w:rsidRPr="00A632FC">
          <w:rPr>
            <w:rFonts w:ascii="Arial" w:hAnsi="Arial" w:cs="Arial"/>
            <w:noProof/>
            <w:sz w:val="24"/>
            <w:szCs w:val="24"/>
          </w:rPr>
          <w:fldChar w:fldCharType="end"/>
        </w:r>
      </w:p>
    </w:sdtContent>
  </w:sdt>
  <w:p w14:paraId="4A65EE44" w14:textId="77777777" w:rsidR="00110D81" w:rsidRDefault="00110D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275D2" w14:textId="77777777" w:rsidR="005F2564" w:rsidRDefault="005F2564">
      <w:pPr>
        <w:spacing w:line="240" w:lineRule="auto"/>
      </w:pPr>
      <w:r>
        <w:separator/>
      </w:r>
    </w:p>
  </w:footnote>
  <w:footnote w:type="continuationSeparator" w:id="0">
    <w:p w14:paraId="24F1A3AE" w14:textId="77777777" w:rsidR="005F2564" w:rsidRDefault="005F2564">
      <w:pPr>
        <w:spacing w:line="240" w:lineRule="auto"/>
      </w:pPr>
      <w:r>
        <w:continuationSeparator/>
      </w:r>
    </w:p>
  </w:footnote>
  <w:footnote w:id="1">
    <w:p w14:paraId="0252FC54" w14:textId="77777777" w:rsidR="00110D81" w:rsidRDefault="00110D81" w:rsidP="001725E8">
      <w:pPr>
        <w:pStyle w:val="FootnoteText"/>
      </w:pPr>
      <w:r>
        <w:rPr>
          <w:rStyle w:val="FootnoteReference"/>
        </w:rPr>
        <w:footnoteRef/>
      </w:r>
      <w:r>
        <w:t xml:space="preserve"> HM Government (January 2019), </w:t>
      </w:r>
      <w:hyperlink r:id="rId1" w:history="1">
        <w:r w:rsidRPr="001725E8">
          <w:rPr>
            <w:rStyle w:val="Hyperlink"/>
          </w:rPr>
          <w:t>Transforming the Response to Domestic Abuse Consultation Response and Draft Bill</w:t>
        </w:r>
      </w:hyperlink>
      <w:r>
        <w:t>.</w:t>
      </w:r>
    </w:p>
  </w:footnote>
  <w:footnote w:id="2">
    <w:p w14:paraId="615A6FC7" w14:textId="39B9E2FB" w:rsidR="00DD4C3C" w:rsidRDefault="00DD4C3C">
      <w:pPr>
        <w:pStyle w:val="FootnoteText"/>
      </w:pPr>
      <w:r>
        <w:rPr>
          <w:rStyle w:val="FootnoteReference"/>
        </w:rPr>
        <w:footnoteRef/>
      </w:r>
      <w:r>
        <w:t xml:space="preserve"> </w:t>
      </w:r>
      <w:r w:rsidR="00D06733">
        <w:t xml:space="preserve">BBC (25 November 2020), </w:t>
      </w:r>
      <w:hyperlink r:id="rId2" w:history="1">
        <w:r w:rsidR="00D06733" w:rsidRPr="00DD4C3C">
          <w:rPr>
            <w:rStyle w:val="Hyperlink"/>
          </w:rPr>
          <w:t>Coronavirus: Domestic abuse offences increased during pandemic</w:t>
        </w:r>
      </w:hyperlink>
      <w:r w:rsidR="00D06733">
        <w:t xml:space="preserve">; BBC (23 July 2020), </w:t>
      </w:r>
      <w:hyperlink r:id="rId3" w:history="1">
        <w:r w:rsidR="00D06733" w:rsidRPr="00DD4C3C">
          <w:rPr>
            <w:rStyle w:val="Hyperlink"/>
            <w:bCs/>
          </w:rPr>
          <w:t>Coronavirus: Domestic abuse helpline sees lockdown surge</w:t>
        </w:r>
      </w:hyperlink>
      <w:r w:rsidR="00D06733" w:rsidRPr="00DD4C3C">
        <w:rPr>
          <w:bCs/>
        </w:rPr>
        <w:t>.</w:t>
      </w:r>
    </w:p>
  </w:footnote>
  <w:footnote w:id="3">
    <w:p w14:paraId="4CB7821D" w14:textId="77777777" w:rsidR="00110D81" w:rsidRPr="00340C4F" w:rsidRDefault="00110D81" w:rsidP="00B65ECE">
      <w:pPr>
        <w:pStyle w:val="FootnoteText"/>
      </w:pPr>
      <w:r w:rsidRPr="00340C4F">
        <w:rPr>
          <w:rStyle w:val="FootnoteReference"/>
        </w:rPr>
        <w:footnoteRef/>
      </w:r>
      <w:r w:rsidRPr="00340C4F">
        <w:t xml:space="preserve"> Safe Lives (2020), </w:t>
      </w:r>
      <w:hyperlink r:id="rId4" w:history="1">
        <w:r w:rsidRPr="00340C4F">
          <w:rPr>
            <w:rStyle w:val="Hyperlink"/>
          </w:rPr>
          <w:t>Briefing for the Second Reading of the Domestic Abuse Bill</w:t>
        </w:r>
      </w:hyperlink>
      <w:r w:rsidRPr="00340C4F">
        <w:t>.</w:t>
      </w:r>
    </w:p>
  </w:footnote>
  <w:footnote w:id="4">
    <w:p w14:paraId="37077EA8" w14:textId="77777777" w:rsidR="00110D81" w:rsidRDefault="00110D81">
      <w:pPr>
        <w:pStyle w:val="FootnoteText"/>
      </w:pPr>
      <w:r>
        <w:rPr>
          <w:rStyle w:val="FootnoteReference"/>
        </w:rPr>
        <w:footnoteRef/>
      </w:r>
      <w:r>
        <w:t xml:space="preserve"> </w:t>
      </w:r>
      <w:r w:rsidR="00F06531">
        <w:t xml:space="preserve">Lord Chancellor and Secretary of State for Justice, </w:t>
      </w:r>
      <w:r>
        <w:t xml:space="preserve">Robert Buckland, HC Deb, </w:t>
      </w:r>
      <w:r w:rsidR="00460315">
        <w:t>28 April 2020, c237.</w:t>
      </w:r>
    </w:p>
  </w:footnote>
  <w:footnote w:id="5">
    <w:p w14:paraId="3592D0FE" w14:textId="77777777" w:rsidR="00110D81" w:rsidRDefault="00110D81">
      <w:pPr>
        <w:pStyle w:val="FootnoteText"/>
      </w:pPr>
      <w:r>
        <w:rPr>
          <w:rStyle w:val="FootnoteReference"/>
        </w:rPr>
        <w:footnoteRef/>
      </w:r>
      <w:r>
        <w:t xml:space="preserve"> </w:t>
      </w:r>
      <w:r w:rsidR="00F06531" w:rsidRPr="00F06531">
        <w:t>Parliamentary Under-Secretary of State for Safeguarding</w:t>
      </w:r>
      <w:r w:rsidR="00F06531">
        <w:t xml:space="preserve">, </w:t>
      </w:r>
      <w:r>
        <w:t xml:space="preserve">Victoria Atkins, </w:t>
      </w:r>
      <w:r w:rsidRPr="006C7A30">
        <w:rPr>
          <w:lang w:val="en"/>
        </w:rPr>
        <w:t>HC Deb, 14 December 2020, c14</w:t>
      </w:r>
      <w:r>
        <w:rPr>
          <w:lang w:val="en"/>
        </w:rPr>
        <w:t>.</w:t>
      </w:r>
    </w:p>
  </w:footnote>
  <w:footnote w:id="6">
    <w:p w14:paraId="5C687192" w14:textId="77777777" w:rsidR="00110D81" w:rsidRDefault="00110D81">
      <w:pPr>
        <w:pStyle w:val="FootnoteText"/>
      </w:pPr>
      <w:r>
        <w:rPr>
          <w:rStyle w:val="FootnoteReference"/>
        </w:rPr>
        <w:footnoteRef/>
      </w:r>
      <w:r>
        <w:t xml:space="preserve"> Domestic Abuse Commissioner (June 2020), </w:t>
      </w:r>
      <w:hyperlink r:id="rId5" w:history="1">
        <w:r w:rsidRPr="001225AC">
          <w:rPr>
            <w:rStyle w:val="Hyperlink"/>
          </w:rPr>
          <w:t>Evidence to the Domestic Abuse Bill Public Bill Committee</w:t>
        </w:r>
      </w:hyperlink>
      <w:r w:rsidRPr="00E96514">
        <w:t xml:space="preserve">. </w:t>
      </w:r>
    </w:p>
  </w:footnote>
  <w:footnote w:id="7">
    <w:p w14:paraId="041F254A" w14:textId="265026E1" w:rsidR="00D06733" w:rsidRDefault="00D06733">
      <w:pPr>
        <w:pStyle w:val="FootnoteText"/>
      </w:pPr>
      <w:r>
        <w:rPr>
          <w:rStyle w:val="FootnoteReference"/>
        </w:rPr>
        <w:footnoteRef/>
      </w:r>
      <w:r>
        <w:t xml:space="preserve"> Safe Lives, </w:t>
      </w:r>
      <w:hyperlink r:id="rId6" w:history="1">
        <w:r w:rsidRPr="00D06733">
          <w:rPr>
            <w:rStyle w:val="Hyperlink"/>
          </w:rPr>
          <w:t>Safe at Home</w:t>
        </w:r>
      </w:hyperlink>
      <w:r>
        <w:t>, 9.</w:t>
      </w:r>
    </w:p>
  </w:footnote>
  <w:footnote w:id="8">
    <w:p w14:paraId="2DD9CAF4" w14:textId="77777777" w:rsidR="00110D81" w:rsidRDefault="00110D81">
      <w:pPr>
        <w:pStyle w:val="FootnoteText"/>
      </w:pPr>
      <w:r>
        <w:rPr>
          <w:rStyle w:val="FootnoteReference"/>
        </w:rPr>
        <w:footnoteRef/>
      </w:r>
      <w:r>
        <w:t xml:space="preserve"> </w:t>
      </w:r>
      <w:r w:rsidRPr="00D616AF">
        <w:t xml:space="preserve">Office for National Statistics ONS (2019) </w:t>
      </w:r>
      <w:hyperlink r:id="rId7" w:history="1">
        <w:r w:rsidRPr="00D616AF">
          <w:rPr>
            <w:rStyle w:val="Hyperlink"/>
          </w:rPr>
          <w:t>Domestic abuse prevalence and victim characteristics - Appendix tables</w:t>
        </w:r>
      </w:hyperlink>
      <w:r>
        <w:t>.</w:t>
      </w:r>
    </w:p>
  </w:footnote>
  <w:footnote w:id="9">
    <w:p w14:paraId="174BAF1C" w14:textId="77777777" w:rsidR="00110D81" w:rsidRPr="00D45442" w:rsidRDefault="00110D81">
      <w:pPr>
        <w:pStyle w:val="FootnoteText"/>
        <w:rPr>
          <w:b/>
        </w:rPr>
      </w:pPr>
      <w:r>
        <w:rPr>
          <w:rStyle w:val="FootnoteReference"/>
        </w:rPr>
        <w:footnoteRef/>
      </w:r>
      <w:r>
        <w:t xml:space="preserve"> EHRC (November 2020), </w:t>
      </w:r>
      <w:hyperlink r:id="rId8" w:history="1">
        <w:r w:rsidRPr="00614DB5">
          <w:rPr>
            <w:rStyle w:val="Hyperlink"/>
          </w:rPr>
          <w:t>Survival, recovery and justice: specialist services for survivors of domestic abuse</w:t>
        </w:r>
      </w:hyperlink>
      <w:r w:rsidRPr="00D45442">
        <w:t>.</w:t>
      </w:r>
    </w:p>
  </w:footnote>
  <w:footnote w:id="10">
    <w:p w14:paraId="318A6CE7" w14:textId="57ECA64F" w:rsidR="00893524" w:rsidRDefault="00893524">
      <w:pPr>
        <w:pStyle w:val="FootnoteText"/>
      </w:pPr>
      <w:r>
        <w:rPr>
          <w:rStyle w:val="FootnoteReference"/>
        </w:rPr>
        <w:footnoteRef/>
      </w:r>
      <w:r>
        <w:t xml:space="preserve"> Ibid.</w:t>
      </w:r>
    </w:p>
  </w:footnote>
  <w:footnote w:id="11">
    <w:p w14:paraId="72B6238C" w14:textId="77777777" w:rsidR="00110D81" w:rsidRDefault="00110D81">
      <w:pPr>
        <w:pStyle w:val="FootnoteText"/>
      </w:pPr>
      <w:r>
        <w:rPr>
          <w:rStyle w:val="FootnoteReference"/>
        </w:rPr>
        <w:footnoteRef/>
      </w:r>
      <w:r>
        <w:t xml:space="preserve"> Ibid. </w:t>
      </w:r>
    </w:p>
  </w:footnote>
  <w:footnote w:id="12">
    <w:p w14:paraId="507EB3B6" w14:textId="77777777" w:rsidR="00110D81" w:rsidRDefault="00110D81" w:rsidP="00981A7F">
      <w:pPr>
        <w:pStyle w:val="FootnoteText"/>
        <w:rPr>
          <w:rFonts w:asciiTheme="minorHAnsi" w:hAnsiTheme="minorHAnsi"/>
        </w:rPr>
      </w:pPr>
      <w:r>
        <w:rPr>
          <w:rStyle w:val="FootnoteReference"/>
        </w:rPr>
        <w:footnoteRef/>
      </w:r>
      <w:r>
        <w:t xml:space="preserve"> Women’s Aid (May 2017). Routes to Support is the UK violence against women and girls database of service and refuge vacancies</w:t>
      </w:r>
    </w:p>
  </w:footnote>
  <w:footnote w:id="13">
    <w:p w14:paraId="27C11EB7" w14:textId="77777777" w:rsidR="00110D81" w:rsidRPr="00C92E1F" w:rsidRDefault="00110D81" w:rsidP="00981A7F">
      <w:pPr>
        <w:pStyle w:val="FootnoteText"/>
        <w:rPr>
          <w:b/>
          <w:bCs/>
        </w:rPr>
      </w:pPr>
      <w:r>
        <w:rPr>
          <w:rStyle w:val="FootnoteReference"/>
        </w:rPr>
        <w:footnoteRef/>
      </w:r>
      <w:r>
        <w:t xml:space="preserve"> Imkaan (2016). ‘Capital Losses’. London: Imkaan. Information taken from EVAW, Imkaan (June 2020), Joint Briefing on</w:t>
      </w:r>
      <w:r w:rsidRPr="00C92E1F">
        <w:t xml:space="preserve"> </w:t>
      </w:r>
      <w:r w:rsidRPr="00C92E1F">
        <w:rPr>
          <w:bCs/>
        </w:rPr>
        <w:t>Adjournment Debate: Black Women and Domestic Abuse.</w:t>
      </w:r>
    </w:p>
  </w:footnote>
  <w:footnote w:id="14">
    <w:p w14:paraId="36C424E7" w14:textId="77777777" w:rsidR="00110D81" w:rsidRPr="004B27D0" w:rsidRDefault="00110D81" w:rsidP="00981A7F">
      <w:pPr>
        <w:pStyle w:val="FootnoteText"/>
      </w:pPr>
      <w:r w:rsidRPr="004B27D0">
        <w:rPr>
          <w:rStyle w:val="FootnoteReference"/>
        </w:rPr>
        <w:footnoteRef/>
      </w:r>
      <w:r w:rsidRPr="004B27D0">
        <w:t xml:space="preserve"> Magić, J. &amp; Kelley, P. (October 2019). </w:t>
      </w:r>
      <w:hyperlink r:id="rId9" w:history="1">
        <w:r w:rsidRPr="004B27D0">
          <w:rPr>
            <w:rStyle w:val="Hyperlink"/>
          </w:rPr>
          <w:t>Recognise &amp; Respond</w:t>
        </w:r>
      </w:hyperlink>
      <w:r w:rsidRPr="004B27D0">
        <w:t>, 10.</w:t>
      </w:r>
    </w:p>
  </w:footnote>
  <w:footnote w:id="15">
    <w:p w14:paraId="1DC88444" w14:textId="77777777" w:rsidR="00110D81" w:rsidRPr="004B27D0" w:rsidRDefault="00110D81" w:rsidP="00981A7F">
      <w:pPr>
        <w:pStyle w:val="FootnoteText"/>
      </w:pPr>
      <w:r w:rsidRPr="004B27D0">
        <w:rPr>
          <w:rStyle w:val="FootnoteReference"/>
        </w:rPr>
        <w:footnoteRef/>
      </w:r>
      <w:r w:rsidRPr="004B27D0">
        <w:t xml:space="preserve"> </w:t>
      </w:r>
      <w:r w:rsidRPr="004B27D0">
        <w:rPr>
          <w:u w:val="single"/>
        </w:rPr>
        <w:t xml:space="preserve">Public Health England (2015) </w:t>
      </w:r>
      <w:hyperlink r:id="rId10" w:history="1">
        <w:r w:rsidRPr="004B27D0">
          <w:rPr>
            <w:rStyle w:val="Hyperlink"/>
          </w:rPr>
          <w:t>Disability and domestic abuse</w:t>
        </w:r>
      </w:hyperlink>
      <w:r w:rsidRPr="004B27D0">
        <w:t>, 17.</w:t>
      </w:r>
    </w:p>
  </w:footnote>
  <w:footnote w:id="16">
    <w:p w14:paraId="3086F015" w14:textId="77777777" w:rsidR="00110D81" w:rsidRPr="004B27D0" w:rsidRDefault="00110D81" w:rsidP="00981A7F">
      <w:pPr>
        <w:pStyle w:val="FootnoteText"/>
      </w:pPr>
      <w:r w:rsidRPr="004B27D0">
        <w:rPr>
          <w:rStyle w:val="FootnoteReference"/>
        </w:rPr>
        <w:footnoteRef/>
      </w:r>
      <w:r w:rsidRPr="004B27D0">
        <w:t xml:space="preserve"> Safe Lives (September 2020), </w:t>
      </w:r>
      <w:hyperlink r:id="rId11" w:history="1">
        <w:r w:rsidRPr="004B27D0">
          <w:rPr>
            <w:rStyle w:val="Hyperlink"/>
          </w:rPr>
          <w:t>A Safe Fund</w:t>
        </w:r>
      </w:hyperlink>
      <w:r w:rsidRPr="004B27D0">
        <w:t>, 12.</w:t>
      </w:r>
    </w:p>
  </w:footnote>
  <w:footnote w:id="17">
    <w:p w14:paraId="43B52521" w14:textId="77777777" w:rsidR="00110D81" w:rsidRDefault="00110D81">
      <w:pPr>
        <w:pStyle w:val="FootnoteText"/>
      </w:pPr>
      <w:r>
        <w:rPr>
          <w:rStyle w:val="FootnoteReference"/>
        </w:rPr>
        <w:footnoteRef/>
      </w:r>
      <w:r>
        <w:t xml:space="preserve"> </w:t>
      </w:r>
      <w:r w:rsidRPr="000148F0">
        <w:t xml:space="preserve">Age UK (2019), </w:t>
      </w:r>
      <w:hyperlink r:id="rId12" w:history="1">
        <w:r w:rsidRPr="000148F0">
          <w:rPr>
            <w:rStyle w:val="Hyperlink"/>
          </w:rPr>
          <w:t>No Age Limit: The Hidden Face of Domestic Abuse</w:t>
        </w:r>
      </w:hyperlink>
    </w:p>
  </w:footnote>
  <w:footnote w:id="18">
    <w:p w14:paraId="313C5495" w14:textId="77777777" w:rsidR="00110D81" w:rsidRPr="007F1178" w:rsidRDefault="00110D81">
      <w:pPr>
        <w:pStyle w:val="FootnoteText"/>
        <w:rPr>
          <w:lang w:val="en-US"/>
        </w:rPr>
      </w:pPr>
      <w:r>
        <w:rPr>
          <w:rStyle w:val="FootnoteReference"/>
        </w:rPr>
        <w:footnoteRef/>
      </w:r>
      <w:r>
        <w:t xml:space="preserve"> </w:t>
      </w:r>
      <w:r>
        <w:rPr>
          <w:lang w:val="en-US"/>
        </w:rPr>
        <w:t xml:space="preserve">Home Office, Ministry of Justice (2017) </w:t>
      </w:r>
      <w:hyperlink r:id="rId13" w:history="1">
        <w:r w:rsidRPr="007F1178">
          <w:rPr>
            <w:rStyle w:val="Hyperlink"/>
            <w:lang w:val="en-US"/>
          </w:rPr>
          <w:t>New measures to allow ratification of Istanbul Convention</w:t>
        </w:r>
      </w:hyperlink>
      <w:r>
        <w:rPr>
          <w:lang w:val="en-US"/>
        </w:rPr>
        <w:t>.</w:t>
      </w:r>
    </w:p>
  </w:footnote>
  <w:footnote w:id="19">
    <w:p w14:paraId="7285A5FA" w14:textId="77777777" w:rsidR="00110D81" w:rsidRPr="000354B0" w:rsidRDefault="00110D81" w:rsidP="009369D0">
      <w:pPr>
        <w:pStyle w:val="FootnoteText"/>
      </w:pPr>
      <w:r w:rsidRPr="000354B0">
        <w:rPr>
          <w:rStyle w:val="FootnoteReference"/>
        </w:rPr>
        <w:footnoteRef/>
      </w:r>
      <w:r w:rsidRPr="000354B0">
        <w:t xml:space="preserve"> Women’s Aid (2019), </w:t>
      </w:r>
      <w:hyperlink r:id="rId14" w:history="1">
        <w:r w:rsidRPr="000354B0">
          <w:rPr>
            <w:rStyle w:val="Hyperlink"/>
          </w:rPr>
          <w:t>Nowhere to Turn: Findings from the Third Year of the No Woman Turned Away Project</w:t>
        </w:r>
      </w:hyperlink>
      <w:r w:rsidRPr="000354B0">
        <w:t>, p.30</w:t>
      </w:r>
    </w:p>
  </w:footnote>
  <w:footnote w:id="20">
    <w:p w14:paraId="0C3D5D76" w14:textId="77777777" w:rsidR="00110D81" w:rsidRPr="00811C1F" w:rsidRDefault="00110D81" w:rsidP="009371B4">
      <w:pPr>
        <w:pStyle w:val="FootnoteText"/>
        <w:spacing w:after="100"/>
        <w:jc w:val="both"/>
        <w:rPr>
          <w:rFonts w:cs="Arial"/>
        </w:rPr>
      </w:pPr>
      <w:r w:rsidRPr="00811C1F">
        <w:rPr>
          <w:rStyle w:val="FootnoteReference"/>
          <w:rFonts w:cs="Arial"/>
        </w:rPr>
        <w:footnoteRef/>
      </w:r>
      <w:r w:rsidRPr="00811C1F">
        <w:rPr>
          <w:rFonts w:cs="Arial"/>
        </w:rPr>
        <w:t xml:space="preserve"> </w:t>
      </w:r>
      <w:r>
        <w:rPr>
          <w:rStyle w:val="Emphasis"/>
          <w:rFonts w:cs="Arial"/>
          <w:color w:val="2A2A2A"/>
          <w:lang w:val="en"/>
        </w:rPr>
        <w:t>T.M. and C.M. v. Moldova</w:t>
      </w:r>
      <w:r>
        <w:rPr>
          <w:rFonts w:cs="Arial"/>
          <w:color w:val="2A2A2A"/>
          <w:lang w:val="en"/>
        </w:rPr>
        <w:t xml:space="preserve"> , Appl. no. 26608/11, Judgment of 28 January 2014, para. 57</w:t>
      </w:r>
    </w:p>
  </w:footnote>
  <w:footnote w:id="21">
    <w:p w14:paraId="2937323D" w14:textId="77777777" w:rsidR="00110D81" w:rsidRPr="00401CE9" w:rsidRDefault="00110D81" w:rsidP="003D5D90">
      <w:pPr>
        <w:pStyle w:val="FootnoteText"/>
      </w:pPr>
      <w:r w:rsidRPr="000354B0">
        <w:rPr>
          <w:rStyle w:val="FootnoteReference"/>
        </w:rPr>
        <w:footnoteRef/>
      </w:r>
      <w:r w:rsidRPr="000354B0">
        <w:t xml:space="preserve"> Step Up Migrant Women Coalition (May 2020), </w:t>
      </w:r>
      <w:r w:rsidRPr="00AF0098">
        <w:t>Joint Submission to the Domestic Abuse Bill Committee</w:t>
      </w:r>
      <w:r w:rsidRPr="00401CE9">
        <w:t>.</w:t>
      </w:r>
    </w:p>
  </w:footnote>
  <w:footnote w:id="22">
    <w:p w14:paraId="458F14BE" w14:textId="77777777" w:rsidR="00110D81" w:rsidRPr="00401CE9" w:rsidRDefault="00110D81" w:rsidP="003D5D90">
      <w:pPr>
        <w:pStyle w:val="FootnoteText"/>
        <w:rPr>
          <w:rFonts w:cs="Arial"/>
          <w:lang w:val="en-US"/>
        </w:rPr>
      </w:pPr>
      <w:r w:rsidRPr="00401CE9">
        <w:rPr>
          <w:rStyle w:val="FootnoteReference"/>
          <w:rFonts w:cs="Arial"/>
        </w:rPr>
        <w:footnoteRef/>
      </w:r>
      <w:r w:rsidRPr="00401CE9">
        <w:rPr>
          <w:rFonts w:cs="Arial"/>
        </w:rPr>
        <w:t xml:space="preserve"> </w:t>
      </w:r>
      <w:r w:rsidRPr="00401CE9">
        <w:rPr>
          <w:rFonts w:cs="Arial"/>
          <w:lang w:val="en-US"/>
        </w:rPr>
        <w:t>Southall Black Sisters</w:t>
      </w:r>
      <w:r>
        <w:rPr>
          <w:rFonts w:cs="Arial"/>
          <w:lang w:val="en-US"/>
        </w:rPr>
        <w:t xml:space="preserve"> (2019)</w:t>
      </w:r>
      <w:r w:rsidRPr="00401CE9">
        <w:rPr>
          <w:rFonts w:cs="Arial"/>
          <w:lang w:val="en-US"/>
        </w:rPr>
        <w:t xml:space="preserve">, ‘The Domestic Abuse Bill: A Briefing Paper by Southall </w:t>
      </w:r>
      <w:r>
        <w:rPr>
          <w:rFonts w:cs="Arial"/>
          <w:lang w:val="en-US"/>
        </w:rPr>
        <w:t>Black Sisters’</w:t>
      </w:r>
      <w:r w:rsidRPr="00401CE9">
        <w:rPr>
          <w:rFonts w:cs="Arial"/>
          <w:lang w:val="en-US"/>
        </w:rPr>
        <w:t>.</w:t>
      </w:r>
    </w:p>
  </w:footnote>
  <w:footnote w:id="23">
    <w:p w14:paraId="6EBA24A8" w14:textId="09F1E3BE" w:rsidR="00C52C4B" w:rsidRDefault="00C52C4B">
      <w:pPr>
        <w:pStyle w:val="FootnoteText"/>
      </w:pPr>
      <w:r>
        <w:rPr>
          <w:rStyle w:val="FootnoteReference"/>
        </w:rPr>
        <w:footnoteRef/>
      </w:r>
      <w:r>
        <w:t xml:space="preserve"> HMICFRS (17 December 2020), </w:t>
      </w:r>
      <w:hyperlink r:id="rId15" w:history="1">
        <w:r w:rsidRPr="00C52C4B">
          <w:rPr>
            <w:rStyle w:val="Hyperlink"/>
          </w:rPr>
          <w:t>Immediate action needed by government and police to ensure vulnerable migrant victims of crime can confidently report to police</w:t>
        </w:r>
      </w:hyperlink>
      <w:r>
        <w:t>.</w:t>
      </w:r>
    </w:p>
  </w:footnote>
  <w:footnote w:id="24">
    <w:p w14:paraId="1D1B9AE9" w14:textId="77777777" w:rsidR="00110D81" w:rsidRPr="00401CE9" w:rsidRDefault="00110D81" w:rsidP="00CC5461">
      <w:pPr>
        <w:pStyle w:val="FootnoteText"/>
        <w:rPr>
          <w:rFonts w:cs="Arial"/>
        </w:rPr>
      </w:pPr>
      <w:r w:rsidRPr="00401CE9">
        <w:rPr>
          <w:rStyle w:val="FootnoteReference"/>
          <w:rFonts w:cs="Arial"/>
        </w:rPr>
        <w:footnoteRef/>
      </w:r>
      <w:r w:rsidRPr="00401CE9">
        <w:rPr>
          <w:rFonts w:cs="Arial"/>
        </w:rPr>
        <w:t xml:space="preserve"> CEDAW, General Recommendation 35, para 31(c).</w:t>
      </w:r>
    </w:p>
  </w:footnote>
  <w:footnote w:id="25">
    <w:p w14:paraId="4712A6F9" w14:textId="77777777" w:rsidR="00110D81" w:rsidRPr="00401CE9" w:rsidRDefault="00110D81" w:rsidP="00CC5461">
      <w:pPr>
        <w:pStyle w:val="FootnoteText"/>
        <w:rPr>
          <w:rFonts w:cs="Arial"/>
        </w:rPr>
      </w:pPr>
      <w:r w:rsidRPr="00401CE9">
        <w:rPr>
          <w:rStyle w:val="FootnoteReference"/>
          <w:rFonts w:cs="Arial"/>
        </w:rPr>
        <w:footnoteRef/>
      </w:r>
      <w:r w:rsidRPr="00401CE9">
        <w:rPr>
          <w:rFonts w:cs="Arial"/>
        </w:rPr>
        <w:t xml:space="preserve"> CEDAW, ‘Concluding observations on the eight periodic report of United Kingdom of Great Britain and Northern Ireland’, Advance Unedited Version, CEDAW/C/GBR/CO/8, 14 March 2019, p. 7.</w:t>
      </w:r>
    </w:p>
  </w:footnote>
  <w:footnote w:id="26">
    <w:p w14:paraId="319C7F7E" w14:textId="77777777" w:rsidR="00110D81" w:rsidRPr="00692F28" w:rsidRDefault="00110D81" w:rsidP="00322485">
      <w:pPr>
        <w:pStyle w:val="FootnoteText"/>
        <w:rPr>
          <w:sz w:val="22"/>
          <w:szCs w:val="22"/>
        </w:rPr>
      </w:pPr>
      <w:r w:rsidRPr="00692F28">
        <w:rPr>
          <w:rStyle w:val="FootnoteReference"/>
          <w:sz w:val="22"/>
          <w:szCs w:val="22"/>
        </w:rPr>
        <w:footnoteRef/>
      </w:r>
      <w:r>
        <w:t xml:space="preserve"> ONS, </w:t>
      </w:r>
      <w:hyperlink r:id="rId16" w:history="1">
        <w:r w:rsidRPr="001C0822">
          <w:rPr>
            <w:rStyle w:val="Hyperlink"/>
          </w:rPr>
          <w:t>Crime Survey for England and Wales, March 2016: Domestic abuse, sexual assault and stalking</w:t>
        </w:r>
      </w:hyperlink>
      <w:r>
        <w:t xml:space="preserve">. </w:t>
      </w:r>
    </w:p>
  </w:footnote>
  <w:footnote w:id="27">
    <w:p w14:paraId="5BD3C0DD" w14:textId="77777777" w:rsidR="00110D81" w:rsidRDefault="00110D81" w:rsidP="00621E01">
      <w:pPr>
        <w:pStyle w:val="FootnoteText"/>
      </w:pPr>
      <w:r>
        <w:rPr>
          <w:rStyle w:val="FootnoteReference"/>
        </w:rPr>
        <w:footnoteRef/>
      </w:r>
      <w:r>
        <w:t xml:space="preserve"> </w:t>
      </w:r>
      <w:r>
        <w:rPr>
          <w:rFonts w:cs="Arial"/>
        </w:rPr>
        <w:t xml:space="preserve">N. E. Corbett and A. Summerfield (2017), </w:t>
      </w:r>
      <w:hyperlink r:id="rId17" w:history="1">
        <w:r>
          <w:rPr>
            <w:rStyle w:val="Hyperlink"/>
            <w:rFonts w:cs="Arial"/>
          </w:rPr>
          <w:t>Alleged perpetrators of abuse as litigants in person in private family law: The cross-examination of vulnerable and intimidated witnesses</w:t>
        </w:r>
      </w:hyperlink>
      <w:r>
        <w:rPr>
          <w:rFonts w:cs="Arial"/>
        </w:rPr>
        <w:t>, Ministry of Justice Analytical Series, Section 4.2.</w:t>
      </w:r>
    </w:p>
  </w:footnote>
  <w:footnote w:id="28">
    <w:p w14:paraId="659AD20C" w14:textId="77777777" w:rsidR="00110D81" w:rsidRDefault="00110D81" w:rsidP="00621E01">
      <w:pPr>
        <w:pStyle w:val="FootnoteText"/>
        <w:rPr>
          <w:rFonts w:cs="Arial"/>
        </w:rPr>
      </w:pPr>
      <w:r>
        <w:rPr>
          <w:rStyle w:val="FootnoteReference"/>
          <w:rFonts w:cs="Arial"/>
        </w:rPr>
        <w:footnoteRef/>
      </w:r>
      <w:r>
        <w:rPr>
          <w:rFonts w:cs="Arial"/>
        </w:rPr>
        <w:t xml:space="preserve"> Ibid, p.28.</w:t>
      </w:r>
    </w:p>
  </w:footnote>
  <w:footnote w:id="29">
    <w:p w14:paraId="7F79088C" w14:textId="77777777" w:rsidR="00110D81" w:rsidRDefault="00110D81">
      <w:pPr>
        <w:pStyle w:val="FootnoteText"/>
      </w:pPr>
      <w:r>
        <w:rPr>
          <w:rStyle w:val="FootnoteReference"/>
        </w:rPr>
        <w:footnoteRef/>
      </w:r>
      <w:r>
        <w:t xml:space="preserve"> House of Lords, House of Commons, </w:t>
      </w:r>
      <w:hyperlink r:id="rId18" w:history="1">
        <w:r w:rsidRPr="00580F3D">
          <w:rPr>
            <w:rStyle w:val="Hyperlink"/>
          </w:rPr>
          <w:t>Joint Committee on the draft Domestic Abuse Bill</w:t>
        </w:r>
      </w:hyperlink>
      <w:r>
        <w:t xml:space="preserve">, </w:t>
      </w:r>
      <w:r w:rsidRPr="00580F3D">
        <w:t>Firs</w:t>
      </w:r>
      <w:r>
        <w:t xml:space="preserve">t Report of Session 2017–19, para 153. </w:t>
      </w:r>
    </w:p>
  </w:footnote>
  <w:footnote w:id="30">
    <w:p w14:paraId="6149DC2B" w14:textId="77777777" w:rsidR="00110D81" w:rsidRDefault="00110D81" w:rsidP="00353A3F">
      <w:pPr>
        <w:pStyle w:val="FootnoteText"/>
        <w:rPr>
          <w:rFonts w:cs="Arial"/>
        </w:rPr>
      </w:pPr>
      <w:r>
        <w:rPr>
          <w:rStyle w:val="FootnoteReference"/>
          <w:rFonts w:cs="Arial"/>
        </w:rPr>
        <w:footnoteRef/>
      </w:r>
      <w:r>
        <w:rPr>
          <w:rFonts w:cs="Arial"/>
        </w:rPr>
        <w:t xml:space="preserve"> </w:t>
      </w:r>
      <w:hyperlink r:id="rId19" w:history="1">
        <w:r>
          <w:rPr>
            <w:rStyle w:val="Hyperlink"/>
            <w:rFonts w:cs="Arial"/>
          </w:rPr>
          <w:t>All-Party Parliamentary Group on Domestic Violence, Domestic Abuse, Child Contact and the Family Courts, 2016</w:t>
        </w:r>
      </w:hyperlink>
      <w:r>
        <w:rPr>
          <w:rFonts w:cs="Arial"/>
        </w:rPr>
        <w:t xml:space="preserve">, p 4; and </w:t>
      </w:r>
      <w:hyperlink r:id="rId20" w:history="1">
        <w:r>
          <w:rPr>
            <w:rStyle w:val="Hyperlink"/>
            <w:rFonts w:cs="Arial"/>
          </w:rPr>
          <w:t>House of Commons Home Affairs Committee, Domestic Abuse: Government Response to the Committee’s Ninth Report of Session 2017–19, 7 May 2019, HC 2172 of session 2017–19</w:t>
        </w:r>
      </w:hyperlink>
      <w:r>
        <w:rPr>
          <w:rFonts w:cs="Arial"/>
        </w:rPr>
        <w:t>, p 7.</w:t>
      </w:r>
    </w:p>
  </w:footnote>
  <w:footnote w:id="31">
    <w:p w14:paraId="69903A74" w14:textId="77777777" w:rsidR="00110D81" w:rsidRDefault="00110D81" w:rsidP="00353A3F">
      <w:pPr>
        <w:pStyle w:val="FootnoteText"/>
        <w:rPr>
          <w:rFonts w:cs="Arial"/>
        </w:rPr>
      </w:pPr>
      <w:r>
        <w:rPr>
          <w:rStyle w:val="FootnoteReference"/>
          <w:rFonts w:cs="Arial"/>
        </w:rPr>
        <w:footnoteRef/>
      </w:r>
      <w:r>
        <w:rPr>
          <w:rFonts w:cs="Arial"/>
        </w:rPr>
        <w:t xml:space="preserve"> Rights of Women, Written Evidence to the Joint Committee on Human Rights on the draft Domestic Violence and Abuse Bill, 15 February 2019, para 3. </w:t>
      </w:r>
    </w:p>
  </w:footnote>
  <w:footnote w:id="32">
    <w:p w14:paraId="5D1F765D" w14:textId="77777777" w:rsidR="00110D81" w:rsidRPr="00692F28" w:rsidRDefault="00110D81" w:rsidP="00882369">
      <w:pPr>
        <w:pStyle w:val="FootnoteText"/>
        <w:rPr>
          <w:sz w:val="22"/>
          <w:szCs w:val="22"/>
        </w:rPr>
      </w:pPr>
      <w:r w:rsidRPr="00692F28">
        <w:rPr>
          <w:rStyle w:val="FootnoteReference"/>
          <w:sz w:val="22"/>
          <w:szCs w:val="22"/>
        </w:rPr>
        <w:footnoteRef/>
      </w:r>
      <w:r>
        <w:t xml:space="preserve">ONS, </w:t>
      </w:r>
      <w:hyperlink r:id="rId21" w:history="1">
        <w:r w:rsidRPr="001C0822">
          <w:rPr>
            <w:rStyle w:val="Hyperlink"/>
          </w:rPr>
          <w:t>Crime Survey for England and Wales, March 2016: Domestic abuse, sexual assault and stalking</w:t>
        </w:r>
      </w:hyperlink>
      <w:r>
        <w:t>.</w:t>
      </w:r>
    </w:p>
  </w:footnote>
  <w:footnote w:id="33">
    <w:p w14:paraId="17D4F101" w14:textId="7CDDA5AB" w:rsidR="00BC2366" w:rsidRDefault="00BC2366" w:rsidP="00BC2366">
      <w:pPr>
        <w:pStyle w:val="FootnoteText"/>
      </w:pPr>
      <w:r>
        <w:rPr>
          <w:rStyle w:val="FootnoteReference"/>
        </w:rPr>
        <w:footnoteRef/>
      </w:r>
      <w:r>
        <w:t xml:space="preserve"> Ministry of Justice (2017), </w:t>
      </w:r>
      <w:r w:rsidRPr="002A38B6">
        <w:t xml:space="preserve">Farai Syposz, </w:t>
      </w:r>
      <w:hyperlink r:id="rId22" w:history="1">
        <w:r w:rsidRPr="00855F25">
          <w:rPr>
            <w:rStyle w:val="Hyperlink"/>
            <w:iCs/>
          </w:rPr>
          <w:t>Research investigating the domestic violence evidential requirements for legal aid in private family disputes</w:t>
        </w:r>
      </w:hyperlink>
      <w:r>
        <w:rPr>
          <w:i/>
          <w:iCs/>
        </w:rPr>
        <w:t xml:space="preserve">, </w:t>
      </w:r>
      <w:r w:rsidR="009E0B9A">
        <w:t>pp. 2-3</w:t>
      </w:r>
      <w:r>
        <w:t>.</w:t>
      </w:r>
    </w:p>
  </w:footnote>
  <w:footnote w:id="34">
    <w:p w14:paraId="1B0CC227" w14:textId="36CBD3D6" w:rsidR="00110D81" w:rsidRDefault="00110D81" w:rsidP="00353A3F">
      <w:pPr>
        <w:pStyle w:val="FootnoteText"/>
      </w:pPr>
      <w:r>
        <w:rPr>
          <w:rStyle w:val="FootnoteReference"/>
        </w:rPr>
        <w:footnoteRef/>
      </w:r>
      <w:r>
        <w:t xml:space="preserve"> </w:t>
      </w:r>
      <w:r w:rsidR="00BC2366">
        <w:t>Ibid</w:t>
      </w:r>
      <w:r>
        <w:t>.</w:t>
      </w:r>
    </w:p>
  </w:footnote>
  <w:footnote w:id="35">
    <w:p w14:paraId="53810904" w14:textId="77777777" w:rsidR="00110D81" w:rsidRDefault="00110D81">
      <w:pPr>
        <w:pStyle w:val="FootnoteText"/>
      </w:pPr>
      <w:r>
        <w:rPr>
          <w:rStyle w:val="FootnoteReference"/>
        </w:rPr>
        <w:footnoteRef/>
      </w:r>
      <w:r>
        <w:t xml:space="preserve"> Eg. </w:t>
      </w:r>
      <w:r w:rsidRPr="00AC54E8">
        <w:t>The Times, 14 February 2019, ‘</w:t>
      </w:r>
      <w:hyperlink r:id="rId23" w:history="1">
        <w:r w:rsidRPr="00AC54E8">
          <w:rPr>
            <w:rStyle w:val="Hyperlink"/>
          </w:rPr>
          <w:t>Courts ‘are silencing abused women</w:t>
        </w:r>
      </w:hyperlink>
      <w:r w:rsidRPr="00AC54E8">
        <w:t>’</w:t>
      </w:r>
      <w:r>
        <w:t>.</w:t>
      </w:r>
    </w:p>
  </w:footnote>
  <w:footnote w:id="36">
    <w:p w14:paraId="1843B6CC" w14:textId="77777777" w:rsidR="00110D81" w:rsidRDefault="00110D81">
      <w:pPr>
        <w:pStyle w:val="FootnoteText"/>
      </w:pPr>
      <w:r>
        <w:rPr>
          <w:rStyle w:val="FootnoteReference"/>
        </w:rPr>
        <w:footnoteRef/>
      </w:r>
      <w:r>
        <w:t xml:space="preserve"> </w:t>
      </w:r>
      <w:hyperlink r:id="rId24" w:history="1">
        <w:r w:rsidRPr="00FA746B">
          <w:rPr>
            <w:rStyle w:val="Hyperlink"/>
          </w:rPr>
          <w:t>Explanatory Notes to section 76, Serious Crime Act 2015</w:t>
        </w:r>
      </w:hyperlink>
      <w:r>
        <w:t>.</w:t>
      </w:r>
    </w:p>
  </w:footnote>
  <w:footnote w:id="37">
    <w:p w14:paraId="78C86980" w14:textId="77777777" w:rsidR="00110D81" w:rsidRDefault="00110D81">
      <w:pPr>
        <w:pStyle w:val="FootnoteText"/>
      </w:pPr>
      <w:r>
        <w:rPr>
          <w:rStyle w:val="FootnoteReference"/>
        </w:rPr>
        <w:footnoteRef/>
      </w:r>
      <w:r>
        <w:t xml:space="preserve"> EHRC (November 2020), </w:t>
      </w:r>
      <w:hyperlink r:id="rId25" w:history="1">
        <w:r w:rsidRPr="00614DB5">
          <w:rPr>
            <w:rStyle w:val="Hyperlink"/>
          </w:rPr>
          <w:t>Survival, recovery and justice: specialist services for survivors of domestic abuse</w:t>
        </w:r>
      </w:hyperlink>
      <w:r w:rsidRPr="00D45442">
        <w:t>.</w:t>
      </w:r>
    </w:p>
  </w:footnote>
  <w:footnote w:id="38">
    <w:p w14:paraId="3B8458F3" w14:textId="77777777" w:rsidR="00110D81" w:rsidRDefault="00110D81">
      <w:pPr>
        <w:pStyle w:val="FootnoteText"/>
      </w:pPr>
      <w:r>
        <w:rPr>
          <w:rStyle w:val="FootnoteReference"/>
        </w:rPr>
        <w:footnoteRef/>
      </w:r>
      <w:r>
        <w:t xml:space="preserve"> </w:t>
      </w:r>
      <w:r w:rsidRPr="00B2044D">
        <w:t xml:space="preserve">Office for National Statistics ONS (2019) </w:t>
      </w:r>
      <w:hyperlink r:id="rId26" w:history="1">
        <w:r w:rsidRPr="00B2044D">
          <w:rPr>
            <w:rStyle w:val="Hyperlink"/>
          </w:rPr>
          <w:t>Domestic abuse prevalence and victim characteristics - Appendix tables</w:t>
        </w:r>
      </w:hyperlink>
      <w:r>
        <w:t>.</w:t>
      </w:r>
    </w:p>
  </w:footnote>
  <w:footnote w:id="39">
    <w:p w14:paraId="5F552915" w14:textId="77777777" w:rsidR="00110D81" w:rsidRPr="004B27D0" w:rsidRDefault="00110D81" w:rsidP="001C3195">
      <w:pPr>
        <w:pStyle w:val="FootnoteText"/>
      </w:pPr>
      <w:r w:rsidRPr="004B27D0">
        <w:rPr>
          <w:rStyle w:val="FootnoteReference"/>
        </w:rPr>
        <w:footnoteRef/>
      </w:r>
      <w:r w:rsidRPr="004B27D0">
        <w:t xml:space="preserve"> SafeLives (</w:t>
      </w:r>
      <w:r w:rsidRPr="00162900">
        <w:t xml:space="preserve">2017) </w:t>
      </w:r>
      <w:hyperlink r:id="rId27" w:history="1">
        <w:r w:rsidRPr="004B27D0">
          <w:rPr>
            <w:rStyle w:val="Hyperlink"/>
          </w:rPr>
          <w:t>Disabled Survivors Too: Disabled people and domestic abuse</w:t>
        </w:r>
      </w:hyperlink>
      <w:r>
        <w:t>,</w:t>
      </w:r>
      <w:r w:rsidRPr="004B27D0">
        <w:t>18: one in five disabled survivors compared to one in twenty for non-disabled survivors.</w:t>
      </w:r>
    </w:p>
  </w:footnote>
  <w:footnote w:id="40">
    <w:p w14:paraId="6115FD6B" w14:textId="77777777" w:rsidR="00110D81" w:rsidRPr="0069194D" w:rsidRDefault="00110D81" w:rsidP="00345C53">
      <w:pPr>
        <w:pStyle w:val="FootnoteText"/>
        <w:rPr>
          <w:rStyle w:val="Hyperlink"/>
        </w:rPr>
      </w:pPr>
      <w:r>
        <w:rPr>
          <w:rStyle w:val="FootnoteReference"/>
        </w:rPr>
        <w:footnoteRef/>
      </w:r>
      <w:r>
        <w:t xml:space="preserve"> Stay Safe East (April 2020), </w:t>
      </w:r>
      <w:r>
        <w:fldChar w:fldCharType="begin"/>
      </w:r>
      <w:r>
        <w:instrText xml:space="preserve"> HYPERLINK "https://drive.google.com/file/d/1GBA95OxQHMzmx3n3Pztag03uHbtn9gkD/view" </w:instrText>
      </w:r>
      <w:r>
        <w:fldChar w:fldCharType="separate"/>
      </w:r>
      <w:r w:rsidRPr="0069194D">
        <w:rPr>
          <w:rStyle w:val="Hyperlink"/>
        </w:rPr>
        <w:t>Domestic Abuse Bill: Briefing and Proposed Amendments - Disabled</w:t>
      </w:r>
    </w:p>
    <w:p w14:paraId="23A7D634" w14:textId="77777777" w:rsidR="00110D81" w:rsidRDefault="00110D81" w:rsidP="00345C53">
      <w:pPr>
        <w:pStyle w:val="FootnoteText"/>
      </w:pPr>
      <w:r w:rsidRPr="0069194D">
        <w:rPr>
          <w:rStyle w:val="Hyperlink"/>
        </w:rPr>
        <w:t>Survivors</w:t>
      </w:r>
      <w:r>
        <w:fldChar w:fldCharType="end"/>
      </w:r>
      <w:r>
        <w:t>.</w:t>
      </w:r>
    </w:p>
  </w:footnote>
  <w:footnote w:id="41">
    <w:p w14:paraId="78D144AE" w14:textId="77777777" w:rsidR="00110D81" w:rsidRDefault="00110D81">
      <w:pPr>
        <w:pStyle w:val="FootnoteText"/>
      </w:pPr>
      <w:r>
        <w:rPr>
          <w:rStyle w:val="FootnoteReference"/>
        </w:rPr>
        <w:footnoteRef/>
      </w:r>
      <w:r>
        <w:t xml:space="preserve"> </w:t>
      </w:r>
      <w:r w:rsidR="00D326CF">
        <w:t>An average of 3.3 years before accessing support, compared to 2.3 years for non-disabled victim, according to figures from domestic abuse charity Safe Lives. See:</w:t>
      </w:r>
      <w:r w:rsidR="00D326CF" w:rsidRPr="001C3195">
        <w:t xml:space="preserve"> </w:t>
      </w:r>
      <w:r w:rsidRPr="001C3195">
        <w:t xml:space="preserve">Safe Lives (2017), </w:t>
      </w:r>
      <w:hyperlink r:id="rId28" w:history="1">
        <w:r w:rsidRPr="001C3195">
          <w:rPr>
            <w:rStyle w:val="Hyperlink"/>
          </w:rPr>
          <w:t>Disabled Survivors Too</w:t>
        </w:r>
      </w:hyperlink>
      <w:r>
        <w:t>, 6.</w:t>
      </w:r>
    </w:p>
  </w:footnote>
  <w:footnote w:id="42">
    <w:p w14:paraId="0868510D" w14:textId="77777777" w:rsidR="00126052" w:rsidRDefault="00126052" w:rsidP="00126052">
      <w:pPr>
        <w:pStyle w:val="FootnoteText"/>
      </w:pPr>
      <w:r>
        <w:rPr>
          <w:rStyle w:val="FootnoteReference"/>
        </w:rPr>
        <w:footnoteRef/>
      </w:r>
      <w:r>
        <w:t xml:space="preserve"> </w:t>
      </w:r>
      <w:r w:rsidRPr="00126052">
        <w:t>s.5 Mental Capacity Act 2005</w:t>
      </w:r>
      <w:r>
        <w:t>. The Government’s Explanatory Notes for s.5 of the Act state: ‘This provides statutory protection against liability for certain acts done in connection with the care or treatment of another person. If an act qualifies as a ‘section 5 act’ then a carer can be confident that he will not face civil liability or criminal prosecution.’</w:t>
      </w:r>
    </w:p>
  </w:footnote>
  <w:footnote w:id="43">
    <w:p w14:paraId="0F44C578" w14:textId="77777777" w:rsidR="00110D81" w:rsidRDefault="00110D81" w:rsidP="00345C53">
      <w:pPr>
        <w:pStyle w:val="FootnoteText"/>
      </w:pPr>
      <w:r>
        <w:rPr>
          <w:rStyle w:val="FootnoteReference"/>
        </w:rPr>
        <w:footnoteRef/>
      </w:r>
      <w:r>
        <w:t xml:space="preserve"> Note comments by Mother’s Union (January 2015), Written evidence to the </w:t>
      </w:r>
      <w:hyperlink r:id="rId29" w:history="1">
        <w:r w:rsidRPr="00E56C63">
          <w:rPr>
            <w:rStyle w:val="Hyperlink"/>
          </w:rPr>
          <w:t>Public Bill Committee on the Serious Crime Bill</w:t>
        </w:r>
      </w:hyperlink>
      <w:r>
        <w:t>.</w:t>
      </w:r>
    </w:p>
  </w:footnote>
  <w:footnote w:id="44">
    <w:p w14:paraId="05D54C9A" w14:textId="3A6BF130" w:rsidR="00576ED7" w:rsidRDefault="00576ED7">
      <w:pPr>
        <w:pStyle w:val="FootnoteText"/>
      </w:pPr>
      <w:r>
        <w:rPr>
          <w:rStyle w:val="FootnoteReference"/>
        </w:rPr>
        <w:footnoteRef/>
      </w:r>
      <w:r>
        <w:t xml:space="preserve"> Email from Carer’s Trust to Equality </w:t>
      </w:r>
      <w:r w:rsidR="00CF479F">
        <w:t>and Human Rights Commission, 1</w:t>
      </w:r>
      <w:r>
        <w:t>8 December 2020.</w:t>
      </w:r>
    </w:p>
  </w:footnote>
  <w:footnote w:id="45">
    <w:p w14:paraId="5C58429E" w14:textId="77777777" w:rsidR="00110D81" w:rsidRPr="004B27D0" w:rsidRDefault="00110D81" w:rsidP="00FE5504">
      <w:pPr>
        <w:pStyle w:val="FootnoteText"/>
      </w:pPr>
      <w:r w:rsidRPr="004B27D0">
        <w:rPr>
          <w:rStyle w:val="FootnoteReference"/>
        </w:rPr>
        <w:footnoteRef/>
      </w:r>
      <w:r w:rsidRPr="004B27D0">
        <w:t xml:space="preserve"> As recognised in HM Government, </w:t>
      </w:r>
      <w:hyperlink r:id="rId30" w:history="1">
        <w:r w:rsidRPr="003C6056">
          <w:rPr>
            <w:rStyle w:val="Hyperlink"/>
          </w:rPr>
          <w:t>Ending Violence Against Women and Girls Strategy 2016-2020</w:t>
        </w:r>
      </w:hyperlink>
      <w:r w:rsidRPr="004B27D0">
        <w:t>, p. 16. See also:</w:t>
      </w:r>
      <w:r>
        <w:t xml:space="preserve"> WHO (2001), </w:t>
      </w:r>
      <w:hyperlink r:id="rId31" w:history="1">
        <w:r w:rsidRPr="003C6056">
          <w:rPr>
            <w:rStyle w:val="Hyperlink"/>
          </w:rPr>
          <w:t>Promoting Gender Equality to prevent violence against women</w:t>
        </w:r>
      </w:hyperlink>
      <w:r>
        <w:t>.</w:t>
      </w:r>
      <w:r w:rsidRPr="004B27D0">
        <w:t xml:space="preserve"> </w:t>
      </w:r>
    </w:p>
  </w:footnote>
  <w:footnote w:id="46">
    <w:p w14:paraId="41007FD0" w14:textId="77777777" w:rsidR="00110D81" w:rsidRPr="004B27D0" w:rsidRDefault="00110D81" w:rsidP="00FE5504">
      <w:pPr>
        <w:pStyle w:val="FootnoteText"/>
      </w:pPr>
      <w:r w:rsidRPr="004B27D0">
        <w:rPr>
          <w:rStyle w:val="FootnoteReference"/>
        </w:rPr>
        <w:footnoteRef/>
      </w:r>
      <w:r w:rsidRPr="004B27D0">
        <w:t xml:space="preserve"> Walby, S. and Towers, J. (May 2017) ‘Measuring violence to end violence: mainstreaming gender’, </w:t>
      </w:r>
      <w:r w:rsidRPr="004B27D0">
        <w:rPr>
          <w:i/>
          <w:iCs/>
        </w:rPr>
        <w:t>Journal of Gender-Based Violence</w:t>
      </w:r>
      <w:r w:rsidRPr="004B27D0">
        <w:t xml:space="preserve">, vol. 1, no; Walby, S. and Allen, J. (2004) Domestic Violence, Sexual Assault and Stalking: Findings from the British Crime Survey. Home Office Research Study 276. London: Home Office; Office for National Statistics (ONS). (2019) Domestic abuse in England and Wales: year ending March 2019. Published online: ONS. Cited in Women’s Aid (2020), </w:t>
      </w:r>
      <w:hyperlink r:id="rId32" w:history="1">
        <w:r w:rsidRPr="004B27D0">
          <w:rPr>
            <w:rStyle w:val="Hyperlink"/>
          </w:rPr>
          <w:t>Domestic abuse is a gendered crime</w:t>
        </w:r>
      </w:hyperlink>
      <w:r w:rsidRPr="004B27D0">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D27F5" w14:textId="77777777" w:rsidR="00110D81" w:rsidRDefault="00110D81" w:rsidP="00670143">
    <w:pPr>
      <w:pStyle w:val="Header"/>
      <w:spacing w:line="240" w:lineRule="auto"/>
      <w:rPr>
        <w:sz w:val="16"/>
        <w:szCs w:val="16"/>
      </w:rPr>
    </w:pPr>
  </w:p>
  <w:p w14:paraId="0E62DD44" w14:textId="77777777" w:rsidR="00110D81" w:rsidRDefault="00110D81" w:rsidP="00670143">
    <w:pPr>
      <w:pStyle w:val="Header"/>
      <w:spacing w:line="240" w:lineRule="auto"/>
      <w:rPr>
        <w:sz w:val="16"/>
        <w:szCs w:val="16"/>
      </w:rPr>
    </w:pPr>
  </w:p>
  <w:p w14:paraId="01CF3114" w14:textId="77777777" w:rsidR="00110D81" w:rsidRPr="00063FCE" w:rsidRDefault="00110D81" w:rsidP="00670143">
    <w:pPr>
      <w:pStyle w:val="Heade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7E4F" w14:textId="77777777" w:rsidR="00110D81" w:rsidRPr="00B33616" w:rsidRDefault="00110D81" w:rsidP="00B33616">
    <w:pPr>
      <w:pStyle w:val="Header"/>
      <w:jc w:val="right"/>
      <w:rPr>
        <w:color w:val="0000FF"/>
        <w:sz w:val="16"/>
        <w:szCs w:val="16"/>
        <w:u w:val="single"/>
      </w:rPr>
    </w:pPr>
  </w:p>
  <w:p w14:paraId="4AEF6F09" w14:textId="77777777" w:rsidR="00110D81" w:rsidRDefault="00110D81">
    <w:pPr>
      <w:pStyle w:val="Header"/>
    </w:pPr>
  </w:p>
  <w:p w14:paraId="5E838EB9" w14:textId="77777777" w:rsidR="00110D81" w:rsidRDefault="00110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0F6C9" w14:textId="77777777" w:rsidR="00110D81" w:rsidRDefault="00110D81" w:rsidP="00EB0C96">
    <w:pPr>
      <w:pStyle w:val="Header"/>
      <w:jc w:val="right"/>
    </w:pPr>
    <w:r>
      <w:rPr>
        <w:noProof/>
        <w:lang w:eastAsia="en-GB"/>
      </w:rPr>
      <w:drawing>
        <wp:inline distT="0" distB="0" distL="0" distR="0" wp14:anchorId="1BBD2BA3" wp14:editId="433FD173">
          <wp:extent cx="2214562" cy="918845"/>
          <wp:effectExtent l="0" t="0" r="0" b="0"/>
          <wp:docPr id="1" name="Picture 1" title="Equality and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CORE_Black_RGB.png"/>
                  <pic:cNvPicPr/>
                </pic:nvPicPr>
                <pic:blipFill rotWithShape="1">
                  <a:blip r:embed="rId1" cstate="print">
                    <a:extLst>
                      <a:ext uri="{28A0092B-C50C-407E-A947-70E740481C1C}">
                        <a14:useLocalDpi xmlns:a14="http://schemas.microsoft.com/office/drawing/2010/main" val="0"/>
                      </a:ext>
                    </a:extLst>
                  </a:blip>
                  <a:srcRect r="7717"/>
                  <a:stretch/>
                </pic:blipFill>
                <pic:spPr bwMode="auto">
                  <a:xfrm>
                    <a:off x="0" y="0"/>
                    <a:ext cx="2242763" cy="930546"/>
                  </a:xfrm>
                  <a:prstGeom prst="rect">
                    <a:avLst/>
                  </a:prstGeom>
                  <a:ln>
                    <a:noFill/>
                  </a:ln>
                  <a:extLst>
                    <a:ext uri="{53640926-AAD7-44D8-BBD7-CCE9431645EC}">
                      <a14:shadowObscured xmlns:a14="http://schemas.microsoft.com/office/drawing/2010/main"/>
                    </a:ext>
                  </a:extLst>
                </pic:spPr>
              </pic:pic>
            </a:graphicData>
          </a:graphic>
        </wp:inline>
      </w:drawing>
    </w:r>
  </w:p>
  <w:p w14:paraId="1BE84B2C" w14:textId="77777777" w:rsidR="00110D81" w:rsidRDefault="00110D81" w:rsidP="00EB0C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7BF"/>
    <w:multiLevelType w:val="hybridMultilevel"/>
    <w:tmpl w:val="FCF87DA6"/>
    <w:lvl w:ilvl="0" w:tplc="9A2AE2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5E5605"/>
    <w:multiLevelType w:val="hybridMultilevel"/>
    <w:tmpl w:val="9BD01B4A"/>
    <w:lvl w:ilvl="0" w:tplc="735C10D2">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FE1DBD"/>
    <w:multiLevelType w:val="multilevel"/>
    <w:tmpl w:val="266EBE76"/>
    <w:lvl w:ilvl="0">
      <w:start w:val="1"/>
      <w:numFmt w:val="decimal"/>
      <w:lvlText w:val="%1."/>
      <w:lvlJc w:val="left"/>
      <w:pPr>
        <w:ind w:left="360" w:hanging="360"/>
      </w:pPr>
    </w:lvl>
    <w:lvl w:ilvl="1">
      <w:start w:val="1"/>
      <w:numFmt w:val="decimal"/>
      <w:isLgl/>
      <w:lvlText w:val="%1.%2"/>
      <w:lvlJc w:val="left"/>
      <w:pPr>
        <w:ind w:left="398" w:hanging="39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7A823DD"/>
    <w:multiLevelType w:val="hybridMultilevel"/>
    <w:tmpl w:val="8FEE0E38"/>
    <w:lvl w:ilvl="0" w:tplc="735C10D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ECD26BD"/>
    <w:multiLevelType w:val="multilevel"/>
    <w:tmpl w:val="EE40B15C"/>
    <w:lvl w:ilvl="0">
      <w:start w:val="1"/>
      <w:numFmt w:val="bullet"/>
      <w:lvlText w:val="●"/>
      <w:lvlJc w:val="left"/>
      <w:pPr>
        <w:ind w:left="360" w:hanging="360"/>
      </w:pPr>
      <w:rPr>
        <w:u w:val="none"/>
      </w:rPr>
    </w:lvl>
    <w:lvl w:ilvl="1">
      <w:start w:val="1"/>
      <w:numFmt w:val="bullet"/>
      <w:lvlText w:val=""/>
      <w:lvlJc w:val="left"/>
      <w:pPr>
        <w:ind w:left="1080" w:hanging="360"/>
      </w:pPr>
      <w:rPr>
        <w:rFonts w:ascii="Symbol" w:hAnsi="Symbol"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34141E2A"/>
    <w:multiLevelType w:val="hybridMultilevel"/>
    <w:tmpl w:val="0C6037D4"/>
    <w:lvl w:ilvl="0" w:tplc="312493C2">
      <w:start w:val="1"/>
      <w:numFmt w:val="decimal"/>
      <w:lvlText w:val="%1."/>
      <w:lvlJc w:val="left"/>
      <w:pPr>
        <w:ind w:left="360" w:hanging="360"/>
      </w:pPr>
      <w:rPr>
        <w:rFonts w:hint="default"/>
        <w:b w:val="0"/>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7B6302"/>
    <w:multiLevelType w:val="hybridMultilevel"/>
    <w:tmpl w:val="454848DA"/>
    <w:lvl w:ilvl="0" w:tplc="0B4A8CC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A213F"/>
    <w:multiLevelType w:val="hybridMultilevel"/>
    <w:tmpl w:val="5FD29088"/>
    <w:lvl w:ilvl="0" w:tplc="ED706D3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1591680"/>
    <w:multiLevelType w:val="hybridMultilevel"/>
    <w:tmpl w:val="C03446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A507F5A"/>
    <w:multiLevelType w:val="hybridMultilevel"/>
    <w:tmpl w:val="FCC00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C93433"/>
    <w:multiLevelType w:val="hybridMultilevel"/>
    <w:tmpl w:val="45228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5E1CAC"/>
    <w:multiLevelType w:val="hybridMultilevel"/>
    <w:tmpl w:val="3760C786"/>
    <w:lvl w:ilvl="0" w:tplc="0B4A8CCC">
      <w:start w:val="1"/>
      <w:numFmt w:val="lowerRoman"/>
      <w:lvlText w:val="(%1)"/>
      <w:lvlJc w:val="left"/>
      <w:pPr>
        <w:ind w:left="1440" w:hanging="720"/>
      </w:pPr>
      <w:rPr>
        <w:rFonts w:hint="default"/>
      </w:rPr>
    </w:lvl>
    <w:lvl w:ilvl="1" w:tplc="3A5A1A70">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F014A43"/>
    <w:multiLevelType w:val="hybridMultilevel"/>
    <w:tmpl w:val="3BC2CB34"/>
    <w:lvl w:ilvl="0" w:tplc="ED706D30">
      <w:start w:val="1"/>
      <w:numFmt w:val="lowerLetter"/>
      <w:lvlText w:val="(%1)"/>
      <w:lvlJc w:val="left"/>
      <w:pPr>
        <w:ind w:left="1440" w:hanging="720"/>
      </w:pPr>
      <w:rPr>
        <w:rFonts w:hint="default"/>
      </w:rPr>
    </w:lvl>
    <w:lvl w:ilvl="1" w:tplc="3A5A1A70">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5440BEF"/>
    <w:multiLevelType w:val="hybridMultilevel"/>
    <w:tmpl w:val="B4F6D0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8151C94"/>
    <w:multiLevelType w:val="hybridMultilevel"/>
    <w:tmpl w:val="CA48E40A"/>
    <w:lvl w:ilvl="0" w:tplc="10DE8B18">
      <w:start w:val="1"/>
      <w:numFmt w:val="bullet"/>
      <w:pStyle w:val="nil1"/>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4"/>
  </w:num>
  <w:num w:numId="4">
    <w:abstractNumId w:val="5"/>
  </w:num>
  <w:num w:numId="5">
    <w:abstractNumId w:val="2"/>
  </w:num>
  <w:num w:numId="6">
    <w:abstractNumId w:val="11"/>
  </w:num>
  <w:num w:numId="7">
    <w:abstractNumId w:val="14"/>
  </w:num>
  <w:num w:numId="8">
    <w:abstractNumId w:val="12"/>
  </w:num>
  <w:num w:numId="9">
    <w:abstractNumId w:val="0"/>
  </w:num>
  <w:num w:numId="10">
    <w:abstractNumId w:val="8"/>
  </w:num>
  <w:num w:numId="11">
    <w:abstractNumId w:val="9"/>
  </w:num>
  <w:num w:numId="12">
    <w:abstractNumId w:val="3"/>
  </w:num>
  <w:num w:numId="13">
    <w:abstractNumId w:val="1"/>
  </w:num>
  <w:num w:numId="14">
    <w:abstractNumId w:val="13"/>
  </w:num>
  <w:num w:numId="15">
    <w:abstractNumId w:val="6"/>
  </w:num>
  <w:num w:numId="1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0E"/>
    <w:rsid w:val="000007EE"/>
    <w:rsid w:val="00005749"/>
    <w:rsid w:val="00006647"/>
    <w:rsid w:val="00007F00"/>
    <w:rsid w:val="00011932"/>
    <w:rsid w:val="00012B23"/>
    <w:rsid w:val="000148F0"/>
    <w:rsid w:val="00020379"/>
    <w:rsid w:val="00026464"/>
    <w:rsid w:val="000306EC"/>
    <w:rsid w:val="000313EB"/>
    <w:rsid w:val="000354B0"/>
    <w:rsid w:val="00036944"/>
    <w:rsid w:val="00037CE7"/>
    <w:rsid w:val="00042C06"/>
    <w:rsid w:val="00045D39"/>
    <w:rsid w:val="000474E1"/>
    <w:rsid w:val="00050DF6"/>
    <w:rsid w:val="00050EB3"/>
    <w:rsid w:val="0005518C"/>
    <w:rsid w:val="00056B01"/>
    <w:rsid w:val="0006266B"/>
    <w:rsid w:val="000704FC"/>
    <w:rsid w:val="000753E4"/>
    <w:rsid w:val="000775A5"/>
    <w:rsid w:val="00087476"/>
    <w:rsid w:val="00092F89"/>
    <w:rsid w:val="00093759"/>
    <w:rsid w:val="00095382"/>
    <w:rsid w:val="000958AC"/>
    <w:rsid w:val="0009598B"/>
    <w:rsid w:val="000A4E2B"/>
    <w:rsid w:val="000A53FA"/>
    <w:rsid w:val="000A630C"/>
    <w:rsid w:val="000B1AE7"/>
    <w:rsid w:val="000B4F9A"/>
    <w:rsid w:val="000C0542"/>
    <w:rsid w:val="000C0F31"/>
    <w:rsid w:val="000C2164"/>
    <w:rsid w:val="000C2A35"/>
    <w:rsid w:val="000C5CA5"/>
    <w:rsid w:val="000D05D3"/>
    <w:rsid w:val="000D1E5B"/>
    <w:rsid w:val="000D2075"/>
    <w:rsid w:val="000D4CA0"/>
    <w:rsid w:val="000D6637"/>
    <w:rsid w:val="000E04D1"/>
    <w:rsid w:val="000E5877"/>
    <w:rsid w:val="000E6616"/>
    <w:rsid w:val="000F45A2"/>
    <w:rsid w:val="000F5E3C"/>
    <w:rsid w:val="000F78C4"/>
    <w:rsid w:val="0010154F"/>
    <w:rsid w:val="00103481"/>
    <w:rsid w:val="0010432E"/>
    <w:rsid w:val="0010616A"/>
    <w:rsid w:val="00110D81"/>
    <w:rsid w:val="00111EFD"/>
    <w:rsid w:val="0012060F"/>
    <w:rsid w:val="001225AC"/>
    <w:rsid w:val="00123FB2"/>
    <w:rsid w:val="001250F5"/>
    <w:rsid w:val="00126052"/>
    <w:rsid w:val="0012613C"/>
    <w:rsid w:val="00134130"/>
    <w:rsid w:val="001368D2"/>
    <w:rsid w:val="00142A0B"/>
    <w:rsid w:val="00143544"/>
    <w:rsid w:val="00144162"/>
    <w:rsid w:val="0014481D"/>
    <w:rsid w:val="001550E9"/>
    <w:rsid w:val="00155C2C"/>
    <w:rsid w:val="00157481"/>
    <w:rsid w:val="001606EC"/>
    <w:rsid w:val="001610F8"/>
    <w:rsid w:val="001702FB"/>
    <w:rsid w:val="00170788"/>
    <w:rsid w:val="001725E8"/>
    <w:rsid w:val="00172E84"/>
    <w:rsid w:val="00174CE7"/>
    <w:rsid w:val="00175A7C"/>
    <w:rsid w:val="001768E5"/>
    <w:rsid w:val="00182C36"/>
    <w:rsid w:val="0019030F"/>
    <w:rsid w:val="0019077B"/>
    <w:rsid w:val="00191F5C"/>
    <w:rsid w:val="00192C86"/>
    <w:rsid w:val="0019349B"/>
    <w:rsid w:val="001947C0"/>
    <w:rsid w:val="00194870"/>
    <w:rsid w:val="001A175D"/>
    <w:rsid w:val="001A36C8"/>
    <w:rsid w:val="001A4881"/>
    <w:rsid w:val="001A5A94"/>
    <w:rsid w:val="001A7B3B"/>
    <w:rsid w:val="001B0955"/>
    <w:rsid w:val="001B0F8C"/>
    <w:rsid w:val="001B1A90"/>
    <w:rsid w:val="001B6D46"/>
    <w:rsid w:val="001C0822"/>
    <w:rsid w:val="001C0B15"/>
    <w:rsid w:val="001C19CF"/>
    <w:rsid w:val="001C1CD5"/>
    <w:rsid w:val="001C2CB8"/>
    <w:rsid w:val="001C3195"/>
    <w:rsid w:val="001D6182"/>
    <w:rsid w:val="001D7828"/>
    <w:rsid w:val="001E2F9E"/>
    <w:rsid w:val="001E45CD"/>
    <w:rsid w:val="001E75BD"/>
    <w:rsid w:val="001F1B32"/>
    <w:rsid w:val="001F29E6"/>
    <w:rsid w:val="001F3CE5"/>
    <w:rsid w:val="001F5AAD"/>
    <w:rsid w:val="00200263"/>
    <w:rsid w:val="00202109"/>
    <w:rsid w:val="00203940"/>
    <w:rsid w:val="00205CEC"/>
    <w:rsid w:val="00207576"/>
    <w:rsid w:val="00207BB9"/>
    <w:rsid w:val="002114A1"/>
    <w:rsid w:val="002145BE"/>
    <w:rsid w:val="00214A63"/>
    <w:rsid w:val="0021694E"/>
    <w:rsid w:val="002177DB"/>
    <w:rsid w:val="00221A8A"/>
    <w:rsid w:val="0022215D"/>
    <w:rsid w:val="0022681B"/>
    <w:rsid w:val="0023183D"/>
    <w:rsid w:val="00233B28"/>
    <w:rsid w:val="00234C2D"/>
    <w:rsid w:val="00241FEC"/>
    <w:rsid w:val="00245675"/>
    <w:rsid w:val="00247426"/>
    <w:rsid w:val="002474F6"/>
    <w:rsid w:val="00251F01"/>
    <w:rsid w:val="00254809"/>
    <w:rsid w:val="002569F2"/>
    <w:rsid w:val="002600B4"/>
    <w:rsid w:val="00261700"/>
    <w:rsid w:val="0026226F"/>
    <w:rsid w:val="00263C24"/>
    <w:rsid w:val="00263FE2"/>
    <w:rsid w:val="00270B64"/>
    <w:rsid w:val="00274801"/>
    <w:rsid w:val="00275B45"/>
    <w:rsid w:val="002765A6"/>
    <w:rsid w:val="0027696D"/>
    <w:rsid w:val="00281040"/>
    <w:rsid w:val="0028565F"/>
    <w:rsid w:val="00286137"/>
    <w:rsid w:val="0028706E"/>
    <w:rsid w:val="00291E09"/>
    <w:rsid w:val="00292D5E"/>
    <w:rsid w:val="002937A1"/>
    <w:rsid w:val="002954B0"/>
    <w:rsid w:val="002962C4"/>
    <w:rsid w:val="00296E9E"/>
    <w:rsid w:val="002A3330"/>
    <w:rsid w:val="002A38B6"/>
    <w:rsid w:val="002A5F38"/>
    <w:rsid w:val="002A7805"/>
    <w:rsid w:val="002B2397"/>
    <w:rsid w:val="002B3FC1"/>
    <w:rsid w:val="002B5D80"/>
    <w:rsid w:val="002B72D2"/>
    <w:rsid w:val="002C0F80"/>
    <w:rsid w:val="002C1949"/>
    <w:rsid w:val="002C619C"/>
    <w:rsid w:val="002C7DBD"/>
    <w:rsid w:val="002D073A"/>
    <w:rsid w:val="002D30C4"/>
    <w:rsid w:val="002D489A"/>
    <w:rsid w:val="002E0615"/>
    <w:rsid w:val="002F2948"/>
    <w:rsid w:val="002F63FB"/>
    <w:rsid w:val="002F76EA"/>
    <w:rsid w:val="00301733"/>
    <w:rsid w:val="00303007"/>
    <w:rsid w:val="00303107"/>
    <w:rsid w:val="00303B16"/>
    <w:rsid w:val="00305A9E"/>
    <w:rsid w:val="0031168A"/>
    <w:rsid w:val="00316069"/>
    <w:rsid w:val="00316984"/>
    <w:rsid w:val="00317022"/>
    <w:rsid w:val="00322485"/>
    <w:rsid w:val="0032599E"/>
    <w:rsid w:val="00327D38"/>
    <w:rsid w:val="00330BF0"/>
    <w:rsid w:val="00334D14"/>
    <w:rsid w:val="00335708"/>
    <w:rsid w:val="00335A36"/>
    <w:rsid w:val="003360CF"/>
    <w:rsid w:val="00340C4F"/>
    <w:rsid w:val="00342473"/>
    <w:rsid w:val="003436E1"/>
    <w:rsid w:val="00345C53"/>
    <w:rsid w:val="00345DC9"/>
    <w:rsid w:val="0034759A"/>
    <w:rsid w:val="0035135A"/>
    <w:rsid w:val="00353A3F"/>
    <w:rsid w:val="003615CE"/>
    <w:rsid w:val="0036651B"/>
    <w:rsid w:val="003678CD"/>
    <w:rsid w:val="00372AFD"/>
    <w:rsid w:val="00374AE7"/>
    <w:rsid w:val="00375E7E"/>
    <w:rsid w:val="00381E91"/>
    <w:rsid w:val="00383B22"/>
    <w:rsid w:val="0038440B"/>
    <w:rsid w:val="00384C0F"/>
    <w:rsid w:val="0038692B"/>
    <w:rsid w:val="00386F23"/>
    <w:rsid w:val="00392B34"/>
    <w:rsid w:val="003953BF"/>
    <w:rsid w:val="003A18DC"/>
    <w:rsid w:val="003A2E34"/>
    <w:rsid w:val="003A670E"/>
    <w:rsid w:val="003A6A00"/>
    <w:rsid w:val="003B0954"/>
    <w:rsid w:val="003B2C20"/>
    <w:rsid w:val="003B7CE8"/>
    <w:rsid w:val="003C1256"/>
    <w:rsid w:val="003C14CD"/>
    <w:rsid w:val="003C36A7"/>
    <w:rsid w:val="003C3B4A"/>
    <w:rsid w:val="003D0BC6"/>
    <w:rsid w:val="003D387A"/>
    <w:rsid w:val="003D41BA"/>
    <w:rsid w:val="003D5D90"/>
    <w:rsid w:val="003D5FA6"/>
    <w:rsid w:val="003D6543"/>
    <w:rsid w:val="003D7662"/>
    <w:rsid w:val="003E56C5"/>
    <w:rsid w:val="003E586E"/>
    <w:rsid w:val="003E5A0A"/>
    <w:rsid w:val="003E5A47"/>
    <w:rsid w:val="003E6968"/>
    <w:rsid w:val="003E6E15"/>
    <w:rsid w:val="003E7C31"/>
    <w:rsid w:val="003F0571"/>
    <w:rsid w:val="003F67BA"/>
    <w:rsid w:val="00401CE9"/>
    <w:rsid w:val="00401E04"/>
    <w:rsid w:val="00403F96"/>
    <w:rsid w:val="00405242"/>
    <w:rsid w:val="00407AC1"/>
    <w:rsid w:val="00407DEB"/>
    <w:rsid w:val="00411F58"/>
    <w:rsid w:val="00412C23"/>
    <w:rsid w:val="0041781B"/>
    <w:rsid w:val="004211D5"/>
    <w:rsid w:val="0043243E"/>
    <w:rsid w:val="0043532C"/>
    <w:rsid w:val="00437944"/>
    <w:rsid w:val="004407F9"/>
    <w:rsid w:val="004408CF"/>
    <w:rsid w:val="00442C83"/>
    <w:rsid w:val="004434DD"/>
    <w:rsid w:val="0044429C"/>
    <w:rsid w:val="004529CF"/>
    <w:rsid w:val="00452CAE"/>
    <w:rsid w:val="00454426"/>
    <w:rsid w:val="0045544B"/>
    <w:rsid w:val="00460315"/>
    <w:rsid w:val="0046431E"/>
    <w:rsid w:val="0046467E"/>
    <w:rsid w:val="00464E8A"/>
    <w:rsid w:val="0047021B"/>
    <w:rsid w:val="00473B4F"/>
    <w:rsid w:val="004740D3"/>
    <w:rsid w:val="00483837"/>
    <w:rsid w:val="00484AAE"/>
    <w:rsid w:val="00485191"/>
    <w:rsid w:val="0049136A"/>
    <w:rsid w:val="00494127"/>
    <w:rsid w:val="004A0C3A"/>
    <w:rsid w:val="004B0BB6"/>
    <w:rsid w:val="004B2CFF"/>
    <w:rsid w:val="004B5FDF"/>
    <w:rsid w:val="004C1DE1"/>
    <w:rsid w:val="004C3C36"/>
    <w:rsid w:val="004C4602"/>
    <w:rsid w:val="004C4947"/>
    <w:rsid w:val="004D470C"/>
    <w:rsid w:val="004D70D7"/>
    <w:rsid w:val="004D7EBE"/>
    <w:rsid w:val="004E20ED"/>
    <w:rsid w:val="004E6A85"/>
    <w:rsid w:val="004F2F15"/>
    <w:rsid w:val="004F35A9"/>
    <w:rsid w:val="004F56B7"/>
    <w:rsid w:val="004F5A86"/>
    <w:rsid w:val="004F7E9E"/>
    <w:rsid w:val="005036F7"/>
    <w:rsid w:val="00503C4C"/>
    <w:rsid w:val="005101DA"/>
    <w:rsid w:val="0051471D"/>
    <w:rsid w:val="005203E1"/>
    <w:rsid w:val="005207C1"/>
    <w:rsid w:val="00522D8D"/>
    <w:rsid w:val="005271C9"/>
    <w:rsid w:val="0053008E"/>
    <w:rsid w:val="00532DA6"/>
    <w:rsid w:val="00534703"/>
    <w:rsid w:val="0053514A"/>
    <w:rsid w:val="00535693"/>
    <w:rsid w:val="00552F3F"/>
    <w:rsid w:val="00554086"/>
    <w:rsid w:val="0055515E"/>
    <w:rsid w:val="0055524D"/>
    <w:rsid w:val="00557869"/>
    <w:rsid w:val="00564C3A"/>
    <w:rsid w:val="00570038"/>
    <w:rsid w:val="00576ED7"/>
    <w:rsid w:val="00577F67"/>
    <w:rsid w:val="00580D4D"/>
    <w:rsid w:val="00580F3D"/>
    <w:rsid w:val="00581881"/>
    <w:rsid w:val="0058262B"/>
    <w:rsid w:val="00591003"/>
    <w:rsid w:val="00593772"/>
    <w:rsid w:val="005A231D"/>
    <w:rsid w:val="005A6496"/>
    <w:rsid w:val="005A681D"/>
    <w:rsid w:val="005A6A25"/>
    <w:rsid w:val="005A7BE2"/>
    <w:rsid w:val="005B16B1"/>
    <w:rsid w:val="005B1F63"/>
    <w:rsid w:val="005B58EC"/>
    <w:rsid w:val="005C01EA"/>
    <w:rsid w:val="005C16BB"/>
    <w:rsid w:val="005C1748"/>
    <w:rsid w:val="005C7383"/>
    <w:rsid w:val="005D098A"/>
    <w:rsid w:val="005D11CF"/>
    <w:rsid w:val="005D3095"/>
    <w:rsid w:val="005E062B"/>
    <w:rsid w:val="005E166B"/>
    <w:rsid w:val="005E5871"/>
    <w:rsid w:val="005E6472"/>
    <w:rsid w:val="005F2564"/>
    <w:rsid w:val="005F291A"/>
    <w:rsid w:val="005F4F94"/>
    <w:rsid w:val="005F633E"/>
    <w:rsid w:val="00600D3A"/>
    <w:rsid w:val="006016E1"/>
    <w:rsid w:val="006073BE"/>
    <w:rsid w:val="00614DB5"/>
    <w:rsid w:val="00621E01"/>
    <w:rsid w:val="006268F1"/>
    <w:rsid w:val="006312AD"/>
    <w:rsid w:val="00633750"/>
    <w:rsid w:val="00634438"/>
    <w:rsid w:val="0063555E"/>
    <w:rsid w:val="00640F30"/>
    <w:rsid w:val="00642443"/>
    <w:rsid w:val="00643A41"/>
    <w:rsid w:val="00647D87"/>
    <w:rsid w:val="006509FB"/>
    <w:rsid w:val="00651355"/>
    <w:rsid w:val="00654E3B"/>
    <w:rsid w:val="00656F26"/>
    <w:rsid w:val="00662280"/>
    <w:rsid w:val="00665296"/>
    <w:rsid w:val="00665DFA"/>
    <w:rsid w:val="00670143"/>
    <w:rsid w:val="00670CFC"/>
    <w:rsid w:val="00671082"/>
    <w:rsid w:val="00672671"/>
    <w:rsid w:val="0067368F"/>
    <w:rsid w:val="00677A4F"/>
    <w:rsid w:val="00684C13"/>
    <w:rsid w:val="0068586B"/>
    <w:rsid w:val="0069086B"/>
    <w:rsid w:val="0069194D"/>
    <w:rsid w:val="0069471F"/>
    <w:rsid w:val="00695F0F"/>
    <w:rsid w:val="00695F5A"/>
    <w:rsid w:val="006A0D89"/>
    <w:rsid w:val="006B0363"/>
    <w:rsid w:val="006B1EB6"/>
    <w:rsid w:val="006B3BF6"/>
    <w:rsid w:val="006B4946"/>
    <w:rsid w:val="006B5D18"/>
    <w:rsid w:val="006C264C"/>
    <w:rsid w:val="006C26CD"/>
    <w:rsid w:val="006C5A8D"/>
    <w:rsid w:val="006C7A30"/>
    <w:rsid w:val="006D01F9"/>
    <w:rsid w:val="006E4954"/>
    <w:rsid w:val="006E495D"/>
    <w:rsid w:val="006E4F2F"/>
    <w:rsid w:val="006F0D75"/>
    <w:rsid w:val="006F24FD"/>
    <w:rsid w:val="006F6A50"/>
    <w:rsid w:val="007007F4"/>
    <w:rsid w:val="00701A0E"/>
    <w:rsid w:val="00704DC0"/>
    <w:rsid w:val="00707EDD"/>
    <w:rsid w:val="00710ED1"/>
    <w:rsid w:val="00711F63"/>
    <w:rsid w:val="007127C1"/>
    <w:rsid w:val="00713D50"/>
    <w:rsid w:val="00713E2F"/>
    <w:rsid w:val="00714C01"/>
    <w:rsid w:val="007151AC"/>
    <w:rsid w:val="007160D1"/>
    <w:rsid w:val="00716BD0"/>
    <w:rsid w:val="0072328F"/>
    <w:rsid w:val="007255AF"/>
    <w:rsid w:val="00727A9C"/>
    <w:rsid w:val="00730309"/>
    <w:rsid w:val="007376AD"/>
    <w:rsid w:val="00740F05"/>
    <w:rsid w:val="00750078"/>
    <w:rsid w:val="00751804"/>
    <w:rsid w:val="007535AA"/>
    <w:rsid w:val="007616CF"/>
    <w:rsid w:val="00762AAD"/>
    <w:rsid w:val="00771FCD"/>
    <w:rsid w:val="007743A3"/>
    <w:rsid w:val="00775E9C"/>
    <w:rsid w:val="00781062"/>
    <w:rsid w:val="00790A60"/>
    <w:rsid w:val="00791638"/>
    <w:rsid w:val="007A1504"/>
    <w:rsid w:val="007A1AA3"/>
    <w:rsid w:val="007A3B6B"/>
    <w:rsid w:val="007B2AAE"/>
    <w:rsid w:val="007C4DEA"/>
    <w:rsid w:val="007C6680"/>
    <w:rsid w:val="007C70C6"/>
    <w:rsid w:val="007D07E6"/>
    <w:rsid w:val="007D0A17"/>
    <w:rsid w:val="007D4DFE"/>
    <w:rsid w:val="007D5F53"/>
    <w:rsid w:val="007E33FE"/>
    <w:rsid w:val="007E4734"/>
    <w:rsid w:val="007E672B"/>
    <w:rsid w:val="007E7585"/>
    <w:rsid w:val="007F1178"/>
    <w:rsid w:val="007F43CA"/>
    <w:rsid w:val="007F5385"/>
    <w:rsid w:val="00800020"/>
    <w:rsid w:val="00800734"/>
    <w:rsid w:val="00800F88"/>
    <w:rsid w:val="008046CA"/>
    <w:rsid w:val="00810147"/>
    <w:rsid w:val="00811CE2"/>
    <w:rsid w:val="008121AE"/>
    <w:rsid w:val="00825D88"/>
    <w:rsid w:val="008264D9"/>
    <w:rsid w:val="00827F50"/>
    <w:rsid w:val="00831CC7"/>
    <w:rsid w:val="00832EE6"/>
    <w:rsid w:val="00833C40"/>
    <w:rsid w:val="00835A11"/>
    <w:rsid w:val="00840017"/>
    <w:rsid w:val="00842BAA"/>
    <w:rsid w:val="00846283"/>
    <w:rsid w:val="008479E0"/>
    <w:rsid w:val="00851DA8"/>
    <w:rsid w:val="00855F25"/>
    <w:rsid w:val="00856AD9"/>
    <w:rsid w:val="008576B0"/>
    <w:rsid w:val="00860BDA"/>
    <w:rsid w:val="008631C9"/>
    <w:rsid w:val="008661DC"/>
    <w:rsid w:val="008670B7"/>
    <w:rsid w:val="00870F7B"/>
    <w:rsid w:val="00873E51"/>
    <w:rsid w:val="008814D6"/>
    <w:rsid w:val="0088199B"/>
    <w:rsid w:val="00882369"/>
    <w:rsid w:val="00882D3C"/>
    <w:rsid w:val="00884F07"/>
    <w:rsid w:val="00885CFD"/>
    <w:rsid w:val="00886627"/>
    <w:rsid w:val="00891D75"/>
    <w:rsid w:val="0089287F"/>
    <w:rsid w:val="00893524"/>
    <w:rsid w:val="00894F2D"/>
    <w:rsid w:val="008A137D"/>
    <w:rsid w:val="008A30BF"/>
    <w:rsid w:val="008A3EB2"/>
    <w:rsid w:val="008A548D"/>
    <w:rsid w:val="008A6AF6"/>
    <w:rsid w:val="008A7E08"/>
    <w:rsid w:val="008B150A"/>
    <w:rsid w:val="008C0CAC"/>
    <w:rsid w:val="008C5833"/>
    <w:rsid w:val="008D36B9"/>
    <w:rsid w:val="008D6CDB"/>
    <w:rsid w:val="008E2990"/>
    <w:rsid w:val="008E5B83"/>
    <w:rsid w:val="008E75BC"/>
    <w:rsid w:val="008F090B"/>
    <w:rsid w:val="008F258D"/>
    <w:rsid w:val="008F4F24"/>
    <w:rsid w:val="00900289"/>
    <w:rsid w:val="00901B13"/>
    <w:rsid w:val="00903FE5"/>
    <w:rsid w:val="009057C4"/>
    <w:rsid w:val="0090689A"/>
    <w:rsid w:val="00910B29"/>
    <w:rsid w:val="0091245E"/>
    <w:rsid w:val="00913B6B"/>
    <w:rsid w:val="00915504"/>
    <w:rsid w:val="00915EDA"/>
    <w:rsid w:val="00915F01"/>
    <w:rsid w:val="00920A2D"/>
    <w:rsid w:val="00921D5A"/>
    <w:rsid w:val="00927825"/>
    <w:rsid w:val="009314BD"/>
    <w:rsid w:val="009369D0"/>
    <w:rsid w:val="009371B4"/>
    <w:rsid w:val="00942CC6"/>
    <w:rsid w:val="00942F0C"/>
    <w:rsid w:val="00944D99"/>
    <w:rsid w:val="00944E4F"/>
    <w:rsid w:val="0094508B"/>
    <w:rsid w:val="00951217"/>
    <w:rsid w:val="00951FFA"/>
    <w:rsid w:val="00957AC9"/>
    <w:rsid w:val="009653FF"/>
    <w:rsid w:val="00967366"/>
    <w:rsid w:val="00970A73"/>
    <w:rsid w:val="00970D9B"/>
    <w:rsid w:val="00975D11"/>
    <w:rsid w:val="009802EC"/>
    <w:rsid w:val="00980458"/>
    <w:rsid w:val="00980F28"/>
    <w:rsid w:val="00981A7F"/>
    <w:rsid w:val="00982434"/>
    <w:rsid w:val="00982932"/>
    <w:rsid w:val="00983033"/>
    <w:rsid w:val="009878FD"/>
    <w:rsid w:val="00990854"/>
    <w:rsid w:val="009915DF"/>
    <w:rsid w:val="00991800"/>
    <w:rsid w:val="00991A5E"/>
    <w:rsid w:val="00992DD7"/>
    <w:rsid w:val="00992EF4"/>
    <w:rsid w:val="009B0FF0"/>
    <w:rsid w:val="009B53C5"/>
    <w:rsid w:val="009B552D"/>
    <w:rsid w:val="009B634E"/>
    <w:rsid w:val="009B6BBF"/>
    <w:rsid w:val="009C0097"/>
    <w:rsid w:val="009C1FF8"/>
    <w:rsid w:val="009C3794"/>
    <w:rsid w:val="009D13B4"/>
    <w:rsid w:val="009D1AE8"/>
    <w:rsid w:val="009D2EBF"/>
    <w:rsid w:val="009D4F3E"/>
    <w:rsid w:val="009E0B9A"/>
    <w:rsid w:val="009E26B3"/>
    <w:rsid w:val="009E2A03"/>
    <w:rsid w:val="009E3984"/>
    <w:rsid w:val="009E5F8F"/>
    <w:rsid w:val="009E76DB"/>
    <w:rsid w:val="009F0805"/>
    <w:rsid w:val="009F54C9"/>
    <w:rsid w:val="009F583B"/>
    <w:rsid w:val="009F6712"/>
    <w:rsid w:val="009F67B6"/>
    <w:rsid w:val="009F6AAC"/>
    <w:rsid w:val="00A00FB3"/>
    <w:rsid w:val="00A0125E"/>
    <w:rsid w:val="00A0238D"/>
    <w:rsid w:val="00A038B5"/>
    <w:rsid w:val="00A03BEC"/>
    <w:rsid w:val="00A065F0"/>
    <w:rsid w:val="00A07753"/>
    <w:rsid w:val="00A07BD3"/>
    <w:rsid w:val="00A108A2"/>
    <w:rsid w:val="00A14805"/>
    <w:rsid w:val="00A15A89"/>
    <w:rsid w:val="00A2091B"/>
    <w:rsid w:val="00A22663"/>
    <w:rsid w:val="00A22CA2"/>
    <w:rsid w:val="00A24BCC"/>
    <w:rsid w:val="00A274B8"/>
    <w:rsid w:val="00A32E53"/>
    <w:rsid w:val="00A3400B"/>
    <w:rsid w:val="00A41EA4"/>
    <w:rsid w:val="00A46E07"/>
    <w:rsid w:val="00A47084"/>
    <w:rsid w:val="00A52EB4"/>
    <w:rsid w:val="00A539FF"/>
    <w:rsid w:val="00A632FC"/>
    <w:rsid w:val="00A71AE5"/>
    <w:rsid w:val="00A73294"/>
    <w:rsid w:val="00A77F27"/>
    <w:rsid w:val="00A82286"/>
    <w:rsid w:val="00A93459"/>
    <w:rsid w:val="00A93D4B"/>
    <w:rsid w:val="00AA02D0"/>
    <w:rsid w:val="00AA59CA"/>
    <w:rsid w:val="00AA6F4B"/>
    <w:rsid w:val="00AA7FBE"/>
    <w:rsid w:val="00AB7701"/>
    <w:rsid w:val="00AC0858"/>
    <w:rsid w:val="00AC1F70"/>
    <w:rsid w:val="00AC306D"/>
    <w:rsid w:val="00AC54E8"/>
    <w:rsid w:val="00AC59F7"/>
    <w:rsid w:val="00AD21A3"/>
    <w:rsid w:val="00AD416C"/>
    <w:rsid w:val="00AD5156"/>
    <w:rsid w:val="00AD53C6"/>
    <w:rsid w:val="00AF0098"/>
    <w:rsid w:val="00AF3AF4"/>
    <w:rsid w:val="00AF7797"/>
    <w:rsid w:val="00B0151E"/>
    <w:rsid w:val="00B029FF"/>
    <w:rsid w:val="00B02EF0"/>
    <w:rsid w:val="00B0668D"/>
    <w:rsid w:val="00B117F1"/>
    <w:rsid w:val="00B16701"/>
    <w:rsid w:val="00B16E34"/>
    <w:rsid w:val="00B2044D"/>
    <w:rsid w:val="00B22B94"/>
    <w:rsid w:val="00B231DA"/>
    <w:rsid w:val="00B33616"/>
    <w:rsid w:val="00B36597"/>
    <w:rsid w:val="00B4421E"/>
    <w:rsid w:val="00B51F19"/>
    <w:rsid w:val="00B545DA"/>
    <w:rsid w:val="00B56807"/>
    <w:rsid w:val="00B6164A"/>
    <w:rsid w:val="00B62021"/>
    <w:rsid w:val="00B63F05"/>
    <w:rsid w:val="00B640F4"/>
    <w:rsid w:val="00B64BD8"/>
    <w:rsid w:val="00B65ECE"/>
    <w:rsid w:val="00B66BA9"/>
    <w:rsid w:val="00B7129B"/>
    <w:rsid w:val="00B72FA9"/>
    <w:rsid w:val="00B737F7"/>
    <w:rsid w:val="00B758B2"/>
    <w:rsid w:val="00B80EE9"/>
    <w:rsid w:val="00B84BE9"/>
    <w:rsid w:val="00B9207E"/>
    <w:rsid w:val="00B93AA5"/>
    <w:rsid w:val="00B93EFE"/>
    <w:rsid w:val="00B94287"/>
    <w:rsid w:val="00B943F1"/>
    <w:rsid w:val="00B9466E"/>
    <w:rsid w:val="00BA2077"/>
    <w:rsid w:val="00BA5E0F"/>
    <w:rsid w:val="00BA6011"/>
    <w:rsid w:val="00BB13E3"/>
    <w:rsid w:val="00BB259E"/>
    <w:rsid w:val="00BC1E0B"/>
    <w:rsid w:val="00BC2366"/>
    <w:rsid w:val="00BC6F3E"/>
    <w:rsid w:val="00BD0E64"/>
    <w:rsid w:val="00BD1B62"/>
    <w:rsid w:val="00BD1CB2"/>
    <w:rsid w:val="00BD4710"/>
    <w:rsid w:val="00BD496D"/>
    <w:rsid w:val="00BD6396"/>
    <w:rsid w:val="00BE43CE"/>
    <w:rsid w:val="00BE5EB6"/>
    <w:rsid w:val="00BE7F65"/>
    <w:rsid w:val="00BF1430"/>
    <w:rsid w:val="00BF15C4"/>
    <w:rsid w:val="00BF281A"/>
    <w:rsid w:val="00BF5C41"/>
    <w:rsid w:val="00BF7397"/>
    <w:rsid w:val="00C022F9"/>
    <w:rsid w:val="00C0485E"/>
    <w:rsid w:val="00C06513"/>
    <w:rsid w:val="00C1524F"/>
    <w:rsid w:val="00C154CC"/>
    <w:rsid w:val="00C207F0"/>
    <w:rsid w:val="00C24E96"/>
    <w:rsid w:val="00C25782"/>
    <w:rsid w:val="00C26793"/>
    <w:rsid w:val="00C26AC6"/>
    <w:rsid w:val="00C326B4"/>
    <w:rsid w:val="00C353ED"/>
    <w:rsid w:val="00C41618"/>
    <w:rsid w:val="00C4343C"/>
    <w:rsid w:val="00C43BCF"/>
    <w:rsid w:val="00C4572C"/>
    <w:rsid w:val="00C517C3"/>
    <w:rsid w:val="00C52C4B"/>
    <w:rsid w:val="00C53C45"/>
    <w:rsid w:val="00C634BD"/>
    <w:rsid w:val="00C71B4C"/>
    <w:rsid w:val="00C74C7E"/>
    <w:rsid w:val="00C761D3"/>
    <w:rsid w:val="00C80781"/>
    <w:rsid w:val="00C83D8F"/>
    <w:rsid w:val="00C92E1F"/>
    <w:rsid w:val="00C96A88"/>
    <w:rsid w:val="00CA2C3E"/>
    <w:rsid w:val="00CA3710"/>
    <w:rsid w:val="00CA38AE"/>
    <w:rsid w:val="00CA5154"/>
    <w:rsid w:val="00CA6F0F"/>
    <w:rsid w:val="00CA75C7"/>
    <w:rsid w:val="00CB212C"/>
    <w:rsid w:val="00CB25B1"/>
    <w:rsid w:val="00CC33A3"/>
    <w:rsid w:val="00CC4F37"/>
    <w:rsid w:val="00CC5014"/>
    <w:rsid w:val="00CC5461"/>
    <w:rsid w:val="00CD00AF"/>
    <w:rsid w:val="00CE3D17"/>
    <w:rsid w:val="00CE44AC"/>
    <w:rsid w:val="00CE5A8B"/>
    <w:rsid w:val="00CE6DAE"/>
    <w:rsid w:val="00CE6F94"/>
    <w:rsid w:val="00CF09F7"/>
    <w:rsid w:val="00CF11C6"/>
    <w:rsid w:val="00CF189F"/>
    <w:rsid w:val="00CF211A"/>
    <w:rsid w:val="00CF3D88"/>
    <w:rsid w:val="00CF479F"/>
    <w:rsid w:val="00CF4DBC"/>
    <w:rsid w:val="00D005C5"/>
    <w:rsid w:val="00D060E7"/>
    <w:rsid w:val="00D06733"/>
    <w:rsid w:val="00D11E7F"/>
    <w:rsid w:val="00D12211"/>
    <w:rsid w:val="00D16475"/>
    <w:rsid w:val="00D169F3"/>
    <w:rsid w:val="00D17EEA"/>
    <w:rsid w:val="00D21611"/>
    <w:rsid w:val="00D2226C"/>
    <w:rsid w:val="00D233A5"/>
    <w:rsid w:val="00D253CC"/>
    <w:rsid w:val="00D279EB"/>
    <w:rsid w:val="00D31C87"/>
    <w:rsid w:val="00D326CF"/>
    <w:rsid w:val="00D33915"/>
    <w:rsid w:val="00D348C6"/>
    <w:rsid w:val="00D351AB"/>
    <w:rsid w:val="00D45442"/>
    <w:rsid w:val="00D519D1"/>
    <w:rsid w:val="00D51C69"/>
    <w:rsid w:val="00D520B2"/>
    <w:rsid w:val="00D52B34"/>
    <w:rsid w:val="00D56859"/>
    <w:rsid w:val="00D573C8"/>
    <w:rsid w:val="00D6013B"/>
    <w:rsid w:val="00D616AF"/>
    <w:rsid w:val="00D62C58"/>
    <w:rsid w:val="00D67047"/>
    <w:rsid w:val="00D672EB"/>
    <w:rsid w:val="00D73FAA"/>
    <w:rsid w:val="00D76033"/>
    <w:rsid w:val="00D853AF"/>
    <w:rsid w:val="00D8682F"/>
    <w:rsid w:val="00D917C3"/>
    <w:rsid w:val="00D965CB"/>
    <w:rsid w:val="00DA5441"/>
    <w:rsid w:val="00DB22D2"/>
    <w:rsid w:val="00DB4DCE"/>
    <w:rsid w:val="00DB7CC1"/>
    <w:rsid w:val="00DD1434"/>
    <w:rsid w:val="00DD3D0F"/>
    <w:rsid w:val="00DD4C3C"/>
    <w:rsid w:val="00DD5929"/>
    <w:rsid w:val="00DE39BA"/>
    <w:rsid w:val="00DE3CDF"/>
    <w:rsid w:val="00DE683C"/>
    <w:rsid w:val="00DF0865"/>
    <w:rsid w:val="00DF5283"/>
    <w:rsid w:val="00DF66FA"/>
    <w:rsid w:val="00DF7A5E"/>
    <w:rsid w:val="00E00934"/>
    <w:rsid w:val="00E019AE"/>
    <w:rsid w:val="00E05227"/>
    <w:rsid w:val="00E06B5F"/>
    <w:rsid w:val="00E11F3B"/>
    <w:rsid w:val="00E132CD"/>
    <w:rsid w:val="00E1500A"/>
    <w:rsid w:val="00E167AE"/>
    <w:rsid w:val="00E16C6C"/>
    <w:rsid w:val="00E16D14"/>
    <w:rsid w:val="00E22350"/>
    <w:rsid w:val="00E22625"/>
    <w:rsid w:val="00E22BE6"/>
    <w:rsid w:val="00E245A5"/>
    <w:rsid w:val="00E37623"/>
    <w:rsid w:val="00E45D49"/>
    <w:rsid w:val="00E4616F"/>
    <w:rsid w:val="00E46A3C"/>
    <w:rsid w:val="00E56C63"/>
    <w:rsid w:val="00E60C11"/>
    <w:rsid w:val="00E6205B"/>
    <w:rsid w:val="00E648BF"/>
    <w:rsid w:val="00E668B8"/>
    <w:rsid w:val="00E71628"/>
    <w:rsid w:val="00E74239"/>
    <w:rsid w:val="00E755CA"/>
    <w:rsid w:val="00E77F1E"/>
    <w:rsid w:val="00E822D1"/>
    <w:rsid w:val="00E82F58"/>
    <w:rsid w:val="00E91261"/>
    <w:rsid w:val="00E92C1B"/>
    <w:rsid w:val="00E941A5"/>
    <w:rsid w:val="00E9425F"/>
    <w:rsid w:val="00E94610"/>
    <w:rsid w:val="00E96514"/>
    <w:rsid w:val="00E97CD4"/>
    <w:rsid w:val="00EA245A"/>
    <w:rsid w:val="00EA27EA"/>
    <w:rsid w:val="00EA3647"/>
    <w:rsid w:val="00EB0C96"/>
    <w:rsid w:val="00EB3413"/>
    <w:rsid w:val="00EB3A96"/>
    <w:rsid w:val="00EB493D"/>
    <w:rsid w:val="00EB64F6"/>
    <w:rsid w:val="00EC10CF"/>
    <w:rsid w:val="00EC1F98"/>
    <w:rsid w:val="00EC2C09"/>
    <w:rsid w:val="00EC3DA0"/>
    <w:rsid w:val="00EC615E"/>
    <w:rsid w:val="00ED2B66"/>
    <w:rsid w:val="00ED45EA"/>
    <w:rsid w:val="00EE11E5"/>
    <w:rsid w:val="00EE725C"/>
    <w:rsid w:val="00EF1233"/>
    <w:rsid w:val="00EF41F1"/>
    <w:rsid w:val="00EF6AC6"/>
    <w:rsid w:val="00F00311"/>
    <w:rsid w:val="00F06531"/>
    <w:rsid w:val="00F13B69"/>
    <w:rsid w:val="00F13E57"/>
    <w:rsid w:val="00F142D8"/>
    <w:rsid w:val="00F160C2"/>
    <w:rsid w:val="00F206F5"/>
    <w:rsid w:val="00F23E73"/>
    <w:rsid w:val="00F25719"/>
    <w:rsid w:val="00F31AAC"/>
    <w:rsid w:val="00F32D72"/>
    <w:rsid w:val="00F34E6D"/>
    <w:rsid w:val="00F351A1"/>
    <w:rsid w:val="00F35CA1"/>
    <w:rsid w:val="00F46032"/>
    <w:rsid w:val="00F475E1"/>
    <w:rsid w:val="00F479D8"/>
    <w:rsid w:val="00F51FF0"/>
    <w:rsid w:val="00F533A8"/>
    <w:rsid w:val="00F56009"/>
    <w:rsid w:val="00F62309"/>
    <w:rsid w:val="00F6594F"/>
    <w:rsid w:val="00F728DC"/>
    <w:rsid w:val="00F73C10"/>
    <w:rsid w:val="00F81875"/>
    <w:rsid w:val="00F82E05"/>
    <w:rsid w:val="00F8637F"/>
    <w:rsid w:val="00F86E07"/>
    <w:rsid w:val="00F87601"/>
    <w:rsid w:val="00F8764D"/>
    <w:rsid w:val="00F87A8A"/>
    <w:rsid w:val="00F952F6"/>
    <w:rsid w:val="00F953C4"/>
    <w:rsid w:val="00F96D30"/>
    <w:rsid w:val="00FA3794"/>
    <w:rsid w:val="00FA42AD"/>
    <w:rsid w:val="00FA6116"/>
    <w:rsid w:val="00FA6774"/>
    <w:rsid w:val="00FA746B"/>
    <w:rsid w:val="00FA7A3F"/>
    <w:rsid w:val="00FB3D8F"/>
    <w:rsid w:val="00FB5BBD"/>
    <w:rsid w:val="00FB5BF6"/>
    <w:rsid w:val="00FC45E9"/>
    <w:rsid w:val="00FD2C6B"/>
    <w:rsid w:val="00FD3303"/>
    <w:rsid w:val="00FD441E"/>
    <w:rsid w:val="00FD645B"/>
    <w:rsid w:val="00FD6EEE"/>
    <w:rsid w:val="00FE077A"/>
    <w:rsid w:val="00FE5504"/>
    <w:rsid w:val="00FE706C"/>
    <w:rsid w:val="00FF79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C475F1"/>
  <w15:chartTrackingRefBased/>
  <w15:docId w15:val="{48983BB5-636C-427F-9D80-CFFBCA6A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1AE8"/>
    <w:pPr>
      <w:spacing w:after="0" w:line="300" w:lineRule="auto"/>
    </w:pPr>
    <w:rPr>
      <w:rFonts w:ascii="Arial" w:eastAsia="Calibri" w:hAnsi="Arial" w:cs="Times New Roman"/>
      <w:sz w:val="24"/>
    </w:rPr>
  </w:style>
  <w:style w:type="paragraph" w:styleId="Heading1">
    <w:name w:val="heading 1"/>
    <w:basedOn w:val="Normal"/>
    <w:next w:val="Normal"/>
    <w:link w:val="Heading1Char"/>
    <w:uiPriority w:val="9"/>
    <w:rsid w:val="00296E9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aliases w:val="nil"/>
    <w:basedOn w:val="Normal"/>
    <w:next w:val="Normal"/>
    <w:link w:val="Heading2Char"/>
    <w:uiPriority w:val="9"/>
    <w:unhideWhenUsed/>
    <w:rsid w:val="00FB3D8F"/>
    <w:pPr>
      <w:keepNext/>
      <w:keepLines/>
      <w:spacing w:before="200" w:after="240"/>
      <w:outlineLvl w:val="1"/>
    </w:pPr>
    <w:rPr>
      <w:rFonts w:eastAsia="Times New Roman"/>
      <w:b/>
      <w:bCs/>
      <w:spacing w:val="3"/>
      <w:szCs w:val="26"/>
    </w:rPr>
  </w:style>
  <w:style w:type="paragraph" w:styleId="Heading3">
    <w:name w:val="heading 3"/>
    <w:aliases w:val="&gt; (level 3) subheading"/>
    <w:basedOn w:val="Normal"/>
    <w:next w:val="Normal"/>
    <w:link w:val="Heading3Char"/>
    <w:uiPriority w:val="9"/>
    <w:unhideWhenUsed/>
    <w:qFormat/>
    <w:rsid w:val="00534703"/>
    <w:pPr>
      <w:keepNext/>
      <w:keepLines/>
      <w:spacing w:before="40"/>
      <w:outlineLvl w:val="2"/>
    </w:pPr>
    <w:rPr>
      <w:rFonts w:cstheme="majorBidi"/>
      <w:b/>
      <w:szCs w:val="24"/>
    </w:rPr>
  </w:style>
  <w:style w:type="paragraph" w:styleId="Heading4">
    <w:name w:val="heading 4"/>
    <w:basedOn w:val="Normal"/>
    <w:next w:val="Normal"/>
    <w:link w:val="Heading4Char"/>
    <w:uiPriority w:val="9"/>
    <w:unhideWhenUsed/>
    <w:rsid w:val="005101DA"/>
    <w:pPr>
      <w:keepNext/>
      <w:keepLines/>
      <w:spacing w:before="40"/>
      <w:outlineLvl w:val="3"/>
    </w:pPr>
    <w:rPr>
      <w:rFonts w:asciiTheme="majorHAnsi" w:eastAsiaTheme="majorEastAsia" w:hAnsiTheme="majorHAnsi" w:cstheme="majorBidi"/>
      <w:i/>
      <w:iCs/>
      <w:color w:val="0076A7" w:themeColor="accent1" w:themeShade="BF"/>
    </w:rPr>
  </w:style>
  <w:style w:type="paragraph" w:styleId="Heading5">
    <w:name w:val="heading 5"/>
    <w:basedOn w:val="Normal"/>
    <w:next w:val="Normal"/>
    <w:link w:val="Heading5Char"/>
    <w:uiPriority w:val="9"/>
    <w:unhideWhenUsed/>
    <w:rsid w:val="00296E9E"/>
    <w:pPr>
      <w:keepNext/>
      <w:keepLines/>
      <w:spacing w:before="40"/>
      <w:outlineLvl w:val="4"/>
    </w:pPr>
    <w:rPr>
      <w:rFonts w:asciiTheme="majorHAnsi" w:eastAsiaTheme="majorEastAsia" w:hAnsiTheme="majorHAnsi" w:cstheme="majorBidi"/>
      <w:color w:val="0076A7" w:themeColor="accent1" w:themeShade="BF"/>
    </w:rPr>
  </w:style>
  <w:style w:type="paragraph" w:styleId="Heading6">
    <w:name w:val="heading 6"/>
    <w:basedOn w:val="Normal"/>
    <w:next w:val="Normal"/>
    <w:link w:val="Heading6Char"/>
    <w:uiPriority w:val="9"/>
    <w:unhideWhenUsed/>
    <w:rsid w:val="00EC3DA0"/>
    <w:pPr>
      <w:keepNext/>
      <w:keepLines/>
      <w:spacing w:before="40"/>
      <w:outlineLvl w:val="5"/>
    </w:pPr>
    <w:rPr>
      <w:rFonts w:asciiTheme="majorHAnsi" w:eastAsiaTheme="majorEastAsia" w:hAnsiTheme="majorHAnsi" w:cstheme="majorBidi"/>
      <w:color w:val="004E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il Char"/>
    <w:basedOn w:val="DefaultParagraphFont"/>
    <w:link w:val="Heading2"/>
    <w:uiPriority w:val="9"/>
    <w:rsid w:val="00FB3D8F"/>
    <w:rPr>
      <w:rFonts w:ascii="Arial" w:eastAsia="Times New Roman" w:hAnsi="Arial" w:cs="Times New Roman"/>
      <w:b/>
      <w:bCs/>
      <w:spacing w:val="3"/>
      <w:sz w:val="24"/>
      <w:szCs w:val="26"/>
    </w:rPr>
  </w:style>
  <w:style w:type="character" w:styleId="Hyperlink">
    <w:name w:val="Hyperlink"/>
    <w:uiPriority w:val="99"/>
    <w:unhideWhenUsed/>
    <w:qFormat/>
    <w:rsid w:val="00970D9B"/>
    <w:rPr>
      <w:color w:val="0000FF"/>
      <w:u w:val="single"/>
    </w:rPr>
  </w:style>
  <w:style w:type="paragraph" w:styleId="Header">
    <w:name w:val="header"/>
    <w:basedOn w:val="Normal"/>
    <w:link w:val="HeaderChar"/>
    <w:uiPriority w:val="99"/>
    <w:unhideWhenUsed/>
    <w:rsid w:val="00970D9B"/>
    <w:pPr>
      <w:tabs>
        <w:tab w:val="center" w:pos="4513"/>
        <w:tab w:val="right" w:pos="9026"/>
      </w:tabs>
    </w:pPr>
  </w:style>
  <w:style w:type="character" w:customStyle="1" w:styleId="HeaderChar">
    <w:name w:val="Header Char"/>
    <w:basedOn w:val="DefaultParagraphFont"/>
    <w:link w:val="Header"/>
    <w:uiPriority w:val="99"/>
    <w:rsid w:val="00970D9B"/>
    <w:rPr>
      <w:rFonts w:ascii="Arial" w:eastAsia="Calibri" w:hAnsi="Arial" w:cs="Times New Roman"/>
      <w:sz w:val="24"/>
    </w:rPr>
  </w:style>
  <w:style w:type="paragraph" w:customStyle="1" w:styleId="nil3">
    <w:name w:val="nil3"/>
    <w:basedOn w:val="Normal"/>
    <w:qFormat/>
    <w:rsid w:val="00FB3D8F"/>
    <w:pPr>
      <w:spacing w:after="360" w:line="360" w:lineRule="auto"/>
    </w:pPr>
    <w:rPr>
      <w:rFonts w:cs="Arial"/>
      <w:spacing w:val="3"/>
      <w:szCs w:val="24"/>
    </w:rPr>
  </w:style>
  <w:style w:type="character" w:customStyle="1" w:styleId="Heading6Char">
    <w:name w:val="Heading 6 Char"/>
    <w:basedOn w:val="DefaultParagraphFont"/>
    <w:link w:val="Heading6"/>
    <w:uiPriority w:val="9"/>
    <w:rsid w:val="00EC3DA0"/>
    <w:rPr>
      <w:rFonts w:asciiTheme="majorHAnsi" w:eastAsiaTheme="majorEastAsia" w:hAnsiTheme="majorHAnsi" w:cstheme="majorBidi"/>
      <w:color w:val="004E6F" w:themeColor="accent1" w:themeShade="7F"/>
      <w:sz w:val="24"/>
    </w:rPr>
  </w:style>
  <w:style w:type="character" w:styleId="CommentReference">
    <w:name w:val="annotation reference"/>
    <w:basedOn w:val="DefaultParagraphFont"/>
    <w:uiPriority w:val="99"/>
    <w:semiHidden/>
    <w:unhideWhenUsed/>
    <w:rsid w:val="00200263"/>
    <w:rPr>
      <w:sz w:val="16"/>
      <w:szCs w:val="16"/>
    </w:rPr>
  </w:style>
  <w:style w:type="paragraph" w:customStyle="1" w:styleId="nil1">
    <w:name w:val="nil1"/>
    <w:basedOn w:val="Normal"/>
    <w:rsid w:val="00FB3D8F"/>
    <w:pPr>
      <w:numPr>
        <w:numId w:val="1"/>
      </w:numPr>
      <w:spacing w:after="240" w:line="360" w:lineRule="auto"/>
      <w:ind w:left="340" w:hanging="340"/>
    </w:pPr>
    <w:rPr>
      <w:spacing w:val="3"/>
      <w:szCs w:val="24"/>
    </w:rPr>
  </w:style>
  <w:style w:type="paragraph" w:styleId="CommentText">
    <w:name w:val="annotation text"/>
    <w:basedOn w:val="Normal"/>
    <w:link w:val="CommentTextChar"/>
    <w:uiPriority w:val="99"/>
    <w:semiHidden/>
    <w:unhideWhenUsed/>
    <w:rsid w:val="00200263"/>
    <w:pPr>
      <w:spacing w:line="240" w:lineRule="auto"/>
    </w:pPr>
    <w:rPr>
      <w:sz w:val="20"/>
      <w:szCs w:val="20"/>
    </w:rPr>
  </w:style>
  <w:style w:type="paragraph" w:customStyle="1" w:styleId="nil2">
    <w:name w:val="nil2"/>
    <w:basedOn w:val="nil1"/>
    <w:qFormat/>
    <w:rsid w:val="00554086"/>
    <w:pPr>
      <w:numPr>
        <w:ilvl w:val="1"/>
        <w:numId w:val="2"/>
      </w:numPr>
      <w:ind w:left="737" w:hanging="340"/>
    </w:pPr>
    <w:rPr>
      <w:rFonts w:cs="Arial"/>
      <w:szCs w:val="28"/>
    </w:rPr>
  </w:style>
  <w:style w:type="character" w:customStyle="1" w:styleId="Heading1Char">
    <w:name w:val="Heading 1 Char"/>
    <w:basedOn w:val="DefaultParagraphFont"/>
    <w:link w:val="Heading1"/>
    <w:uiPriority w:val="9"/>
    <w:rsid w:val="00296E9E"/>
    <w:rPr>
      <w:rFonts w:asciiTheme="majorHAnsi" w:eastAsiaTheme="majorEastAsia" w:hAnsiTheme="majorHAnsi" w:cstheme="majorBidi"/>
      <w:color w:val="000000" w:themeColor="text1"/>
      <w:sz w:val="32"/>
      <w:szCs w:val="32"/>
    </w:rPr>
  </w:style>
  <w:style w:type="paragraph" w:customStyle="1" w:styleId="level1title">
    <w:name w:val="&gt; (level 1) title"/>
    <w:basedOn w:val="Heading1"/>
    <w:qFormat/>
    <w:rsid w:val="00534703"/>
    <w:pPr>
      <w:spacing w:before="0" w:after="120" w:line="288" w:lineRule="auto"/>
    </w:pPr>
    <w:rPr>
      <w:rFonts w:ascii="Arial" w:eastAsia="Times New Roman" w:hAnsi="Arial" w:cs="Arial"/>
      <w:b/>
      <w:bCs/>
      <w:color w:val="auto"/>
      <w:spacing w:val="3"/>
      <w:sz w:val="56"/>
      <w:szCs w:val="48"/>
    </w:rPr>
  </w:style>
  <w:style w:type="character" w:customStyle="1" w:styleId="CommentTextChar">
    <w:name w:val="Comment Text Char"/>
    <w:basedOn w:val="DefaultParagraphFont"/>
    <w:link w:val="CommentText"/>
    <w:uiPriority w:val="99"/>
    <w:semiHidden/>
    <w:rsid w:val="00200263"/>
    <w:rPr>
      <w:rFonts w:ascii="Arial" w:eastAsia="Calibri" w:hAnsi="Arial" w:cs="Times New Roman"/>
      <w:sz w:val="20"/>
      <w:szCs w:val="20"/>
    </w:rPr>
  </w:style>
  <w:style w:type="paragraph" w:customStyle="1" w:styleId="level2section">
    <w:name w:val="&gt; (level 2) section"/>
    <w:basedOn w:val="Heading2"/>
    <w:qFormat/>
    <w:rsid w:val="00534703"/>
    <w:pPr>
      <w:pBdr>
        <w:bottom w:val="dotted" w:sz="4" w:space="1" w:color="auto"/>
      </w:pBdr>
      <w:spacing w:before="0" w:after="320" w:line="312" w:lineRule="auto"/>
    </w:pPr>
    <w:rPr>
      <w:spacing w:val="0"/>
      <w:sz w:val="28"/>
    </w:rPr>
  </w:style>
  <w:style w:type="paragraph" w:styleId="CommentSubject">
    <w:name w:val="annotation subject"/>
    <w:basedOn w:val="CommentText"/>
    <w:next w:val="CommentText"/>
    <w:link w:val="CommentSubjectChar"/>
    <w:uiPriority w:val="99"/>
    <w:semiHidden/>
    <w:unhideWhenUsed/>
    <w:rsid w:val="00200263"/>
    <w:rPr>
      <w:b/>
      <w:bCs/>
    </w:rPr>
  </w:style>
  <w:style w:type="character" w:customStyle="1" w:styleId="CommentSubjectChar">
    <w:name w:val="Comment Subject Char"/>
    <w:basedOn w:val="CommentTextChar"/>
    <w:link w:val="CommentSubject"/>
    <w:uiPriority w:val="99"/>
    <w:semiHidden/>
    <w:rsid w:val="0020026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002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63"/>
    <w:rPr>
      <w:rFonts w:ascii="Segoe UI" w:eastAsia="Calibri" w:hAnsi="Segoe UI" w:cs="Segoe UI"/>
      <w:sz w:val="18"/>
      <w:szCs w:val="18"/>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qFormat/>
    <w:rsid w:val="00F81875"/>
    <w:pPr>
      <w:spacing w:line="240" w:lineRule="auto"/>
    </w:pPr>
    <w:rPr>
      <w:sz w:val="20"/>
      <w:szCs w:val="20"/>
      <w:lang w:eastAsia="en-GB"/>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F81875"/>
    <w:rPr>
      <w:rFonts w:ascii="Arial" w:eastAsia="Calibri" w:hAnsi="Arial"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fr"/>
    <w:basedOn w:val="DefaultParagraphFont"/>
    <w:link w:val="4GCharCharChar"/>
    <w:uiPriority w:val="99"/>
    <w:unhideWhenUsed/>
    <w:qFormat/>
    <w:rsid w:val="00F81875"/>
    <w:rPr>
      <w:vertAlign w:val="superscript"/>
    </w:rPr>
  </w:style>
  <w:style w:type="character" w:customStyle="1" w:styleId="Heading3Char">
    <w:name w:val="Heading 3 Char"/>
    <w:aliases w:val="&gt; (level 3) subheading Char"/>
    <w:basedOn w:val="DefaultParagraphFont"/>
    <w:link w:val="Heading3"/>
    <w:uiPriority w:val="9"/>
    <w:rsid w:val="00534703"/>
    <w:rPr>
      <w:rFonts w:ascii="Arial" w:eastAsia="Calibri" w:hAnsi="Arial" w:cstheme="majorBidi"/>
      <w:b/>
      <w:sz w:val="24"/>
      <w:szCs w:val="24"/>
    </w:rPr>
  </w:style>
  <w:style w:type="character" w:customStyle="1" w:styleId="Heading4Char">
    <w:name w:val="Heading 4 Char"/>
    <w:basedOn w:val="DefaultParagraphFont"/>
    <w:link w:val="Heading4"/>
    <w:uiPriority w:val="9"/>
    <w:rsid w:val="005101DA"/>
    <w:rPr>
      <w:rFonts w:asciiTheme="majorHAnsi" w:eastAsiaTheme="majorEastAsia" w:hAnsiTheme="majorHAnsi" w:cstheme="majorBidi"/>
      <w:i/>
      <w:iCs/>
      <w:color w:val="0076A7" w:themeColor="accent1" w:themeShade="BF"/>
      <w:sz w:val="24"/>
    </w:rPr>
  </w:style>
  <w:style w:type="character" w:styleId="FollowedHyperlink">
    <w:name w:val="FollowedHyperlink"/>
    <w:basedOn w:val="DefaultParagraphFont"/>
    <w:uiPriority w:val="99"/>
    <w:semiHidden/>
    <w:unhideWhenUsed/>
    <w:rsid w:val="00F25719"/>
    <w:rPr>
      <w:color w:val="954F72" w:themeColor="followedHyperlink"/>
      <w:u w:val="single"/>
    </w:rPr>
  </w:style>
  <w:style w:type="character" w:customStyle="1" w:styleId="Heading5Char">
    <w:name w:val="Heading 5 Char"/>
    <w:basedOn w:val="DefaultParagraphFont"/>
    <w:link w:val="Heading5"/>
    <w:uiPriority w:val="9"/>
    <w:rsid w:val="00296E9E"/>
    <w:rPr>
      <w:rFonts w:asciiTheme="majorHAnsi" w:eastAsiaTheme="majorEastAsia" w:hAnsiTheme="majorHAnsi" w:cstheme="majorBidi"/>
      <w:color w:val="0076A7" w:themeColor="accent1" w:themeShade="BF"/>
      <w:sz w:val="24"/>
    </w:rPr>
  </w:style>
  <w:style w:type="paragraph" w:styleId="Title">
    <w:name w:val="Title"/>
    <w:basedOn w:val="Normal"/>
    <w:next w:val="Normal"/>
    <w:link w:val="TitleChar"/>
    <w:uiPriority w:val="10"/>
    <w:qFormat/>
    <w:rsid w:val="002C1949"/>
    <w:pPr>
      <w:spacing w:after="60" w:line="360" w:lineRule="auto"/>
      <w:contextualSpacing/>
    </w:pPr>
    <w:rPr>
      <w:rFonts w:eastAsia="Times New Roman"/>
      <w:b/>
      <w:spacing w:val="5"/>
      <w:kern w:val="28"/>
      <w:sz w:val="36"/>
      <w:szCs w:val="52"/>
    </w:rPr>
  </w:style>
  <w:style w:type="character" w:customStyle="1" w:styleId="TitleChar">
    <w:name w:val="Title Char"/>
    <w:basedOn w:val="DefaultParagraphFont"/>
    <w:link w:val="Title"/>
    <w:uiPriority w:val="10"/>
    <w:rsid w:val="002C1949"/>
    <w:rPr>
      <w:rFonts w:ascii="Arial" w:eastAsia="Times New Roman" w:hAnsi="Arial" w:cs="Times New Roman"/>
      <w:b/>
      <w:spacing w:val="5"/>
      <w:kern w:val="28"/>
      <w:sz w:val="36"/>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2C1949"/>
    <w:pPr>
      <w:spacing w:after="200" w:line="240" w:lineRule="auto"/>
      <w:ind w:left="720"/>
      <w:contextualSpacing/>
    </w:pPr>
    <w:rPr>
      <w:sz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2C1949"/>
    <w:rPr>
      <w:rFonts w:ascii="Arial" w:eastAsia="Calibri" w:hAnsi="Arial" w:cs="Times New Roman"/>
      <w:sz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C1949"/>
    <w:pPr>
      <w:spacing w:after="160" w:line="240" w:lineRule="exact"/>
      <w:jc w:val="both"/>
    </w:pPr>
    <w:rPr>
      <w:rFonts w:asciiTheme="minorHAnsi" w:eastAsiaTheme="minorHAnsi" w:hAnsiTheme="minorHAnsi" w:cstheme="minorBidi"/>
      <w:sz w:val="22"/>
      <w:vertAlign w:val="superscript"/>
    </w:rPr>
  </w:style>
  <w:style w:type="paragraph" w:styleId="TOCHeading">
    <w:name w:val="TOC Heading"/>
    <w:basedOn w:val="Heading1"/>
    <w:next w:val="Normal"/>
    <w:uiPriority w:val="39"/>
    <w:unhideWhenUsed/>
    <w:qFormat/>
    <w:rsid w:val="00B33616"/>
    <w:pPr>
      <w:spacing w:line="259" w:lineRule="auto"/>
      <w:outlineLvl w:val="9"/>
    </w:pPr>
    <w:rPr>
      <w:color w:val="0076A7" w:themeColor="accent1" w:themeShade="BF"/>
      <w:lang w:val="en-US"/>
    </w:rPr>
  </w:style>
  <w:style w:type="paragraph" w:styleId="TOC1">
    <w:name w:val="toc 1"/>
    <w:basedOn w:val="Normal"/>
    <w:next w:val="Normal"/>
    <w:autoRedefine/>
    <w:uiPriority w:val="39"/>
    <w:unhideWhenUsed/>
    <w:rsid w:val="00B33616"/>
    <w:pPr>
      <w:spacing w:after="100"/>
    </w:pPr>
  </w:style>
  <w:style w:type="paragraph" w:styleId="TOC2">
    <w:name w:val="toc 2"/>
    <w:basedOn w:val="Normal"/>
    <w:next w:val="Normal"/>
    <w:autoRedefine/>
    <w:uiPriority w:val="39"/>
    <w:unhideWhenUsed/>
    <w:rsid w:val="00B33616"/>
    <w:pPr>
      <w:spacing w:after="100"/>
      <w:ind w:left="240"/>
    </w:pPr>
  </w:style>
  <w:style w:type="paragraph" w:styleId="TOC3">
    <w:name w:val="toc 3"/>
    <w:basedOn w:val="Normal"/>
    <w:next w:val="Normal"/>
    <w:autoRedefine/>
    <w:uiPriority w:val="39"/>
    <w:unhideWhenUsed/>
    <w:rsid w:val="00B33616"/>
    <w:pPr>
      <w:spacing w:after="100"/>
      <w:ind w:left="480"/>
    </w:pPr>
  </w:style>
  <w:style w:type="paragraph" w:styleId="NoSpacing">
    <w:name w:val="No Spacing"/>
    <w:link w:val="NoSpacingChar"/>
    <w:uiPriority w:val="1"/>
    <w:qFormat/>
    <w:rsid w:val="002769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696D"/>
    <w:rPr>
      <w:rFonts w:eastAsiaTheme="minorEastAsia"/>
      <w:lang w:val="en-US"/>
    </w:rPr>
  </w:style>
  <w:style w:type="paragraph" w:customStyle="1" w:styleId="nil4">
    <w:name w:val="nil4"/>
    <w:basedOn w:val="Heading3"/>
    <w:rsid w:val="00DD3D0F"/>
  </w:style>
  <w:style w:type="paragraph" w:customStyle="1" w:styleId="Style1">
    <w:name w:val="Style1"/>
    <w:basedOn w:val="nil3"/>
    <w:next w:val="nil3"/>
    <w:rsid w:val="00FB3D8F"/>
  </w:style>
  <w:style w:type="table" w:styleId="TableGrid">
    <w:name w:val="Table Grid"/>
    <w:basedOn w:val="TableNormal"/>
    <w:uiPriority w:val="39"/>
    <w:rsid w:val="0007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3">
    <w:name w:val="nul3"/>
    <w:basedOn w:val="Normal"/>
    <w:qFormat/>
    <w:rsid w:val="00534703"/>
    <w:pPr>
      <w:spacing w:after="360" w:line="360" w:lineRule="auto"/>
    </w:pPr>
    <w:rPr>
      <w:rFonts w:cs="Arial"/>
      <w:spacing w:val="3"/>
      <w:szCs w:val="24"/>
    </w:rPr>
  </w:style>
  <w:style w:type="paragraph" w:styleId="Footer">
    <w:name w:val="footer"/>
    <w:basedOn w:val="Normal"/>
    <w:link w:val="FooterChar"/>
    <w:uiPriority w:val="99"/>
    <w:unhideWhenUsed/>
    <w:rsid w:val="00A632FC"/>
    <w:pPr>
      <w:tabs>
        <w:tab w:val="center" w:pos="4680"/>
        <w:tab w:val="right" w:pos="9360"/>
      </w:tabs>
      <w:spacing w:line="240" w:lineRule="auto"/>
    </w:pPr>
    <w:rPr>
      <w:rFonts w:asciiTheme="minorHAnsi" w:eastAsiaTheme="minorEastAsia" w:hAnsiTheme="minorHAnsi"/>
      <w:sz w:val="22"/>
      <w:lang w:val="en-US"/>
    </w:rPr>
  </w:style>
  <w:style w:type="character" w:customStyle="1" w:styleId="FooterChar">
    <w:name w:val="Footer Char"/>
    <w:basedOn w:val="DefaultParagraphFont"/>
    <w:link w:val="Footer"/>
    <w:uiPriority w:val="99"/>
    <w:rsid w:val="00A632FC"/>
    <w:rPr>
      <w:rFonts w:eastAsiaTheme="minorEastAsia" w:cs="Times New Roman"/>
      <w:lang w:val="en-US"/>
    </w:rPr>
  </w:style>
  <w:style w:type="paragraph" w:customStyle="1" w:styleId="mainbodycopy">
    <w:name w:val="&gt; main body copy"/>
    <w:basedOn w:val="Normal"/>
    <w:qFormat/>
    <w:rsid w:val="00384C0F"/>
    <w:pPr>
      <w:spacing w:after="360" w:line="360" w:lineRule="auto"/>
    </w:pPr>
    <w:rPr>
      <w:rFonts w:cs="Arial"/>
      <w:spacing w:val="3"/>
      <w:szCs w:val="24"/>
    </w:rPr>
  </w:style>
  <w:style w:type="character" w:styleId="Strong">
    <w:name w:val="Strong"/>
    <w:basedOn w:val="DefaultParagraphFont"/>
    <w:uiPriority w:val="22"/>
    <w:qFormat/>
    <w:rsid w:val="001F5AAD"/>
    <w:rPr>
      <w:b/>
      <w:bCs/>
    </w:rPr>
  </w:style>
  <w:style w:type="character" w:styleId="Emphasis">
    <w:name w:val="Emphasis"/>
    <w:basedOn w:val="DefaultParagraphFont"/>
    <w:uiPriority w:val="20"/>
    <w:qFormat/>
    <w:rsid w:val="00591003"/>
    <w:rPr>
      <w:i/>
      <w:iCs/>
    </w:rPr>
  </w:style>
  <w:style w:type="paragraph" w:styleId="EndnoteText">
    <w:name w:val="endnote text"/>
    <w:basedOn w:val="Normal"/>
    <w:link w:val="EndnoteTextChar"/>
    <w:uiPriority w:val="99"/>
    <w:semiHidden/>
    <w:unhideWhenUsed/>
    <w:rsid w:val="00AD5156"/>
    <w:pPr>
      <w:spacing w:line="240" w:lineRule="auto"/>
    </w:pPr>
    <w:rPr>
      <w:sz w:val="20"/>
      <w:szCs w:val="20"/>
    </w:rPr>
  </w:style>
  <w:style w:type="character" w:customStyle="1" w:styleId="EndnoteTextChar">
    <w:name w:val="Endnote Text Char"/>
    <w:basedOn w:val="DefaultParagraphFont"/>
    <w:link w:val="EndnoteText"/>
    <w:uiPriority w:val="99"/>
    <w:semiHidden/>
    <w:rsid w:val="00AD5156"/>
    <w:rPr>
      <w:rFonts w:ascii="Arial" w:eastAsia="Calibri" w:hAnsi="Arial" w:cs="Times New Roman"/>
      <w:sz w:val="20"/>
      <w:szCs w:val="20"/>
    </w:rPr>
  </w:style>
  <w:style w:type="character" w:styleId="EndnoteReference">
    <w:name w:val="endnote reference"/>
    <w:basedOn w:val="DefaultParagraphFont"/>
    <w:uiPriority w:val="99"/>
    <w:semiHidden/>
    <w:unhideWhenUsed/>
    <w:rsid w:val="00AD5156"/>
    <w:rPr>
      <w:vertAlign w:val="superscript"/>
    </w:rPr>
  </w:style>
  <w:style w:type="character" w:customStyle="1" w:styleId="normal10">
    <w:name w:val="normal10"/>
    <w:basedOn w:val="DefaultParagraphFont"/>
    <w:rsid w:val="005A2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123">
      <w:bodyDiv w:val="1"/>
      <w:marLeft w:val="0"/>
      <w:marRight w:val="0"/>
      <w:marTop w:val="0"/>
      <w:marBottom w:val="0"/>
      <w:divBdr>
        <w:top w:val="none" w:sz="0" w:space="0" w:color="auto"/>
        <w:left w:val="none" w:sz="0" w:space="0" w:color="auto"/>
        <w:bottom w:val="none" w:sz="0" w:space="0" w:color="auto"/>
        <w:right w:val="none" w:sz="0" w:space="0" w:color="auto"/>
      </w:divBdr>
    </w:div>
    <w:div w:id="408769003">
      <w:bodyDiv w:val="1"/>
      <w:marLeft w:val="0"/>
      <w:marRight w:val="0"/>
      <w:marTop w:val="0"/>
      <w:marBottom w:val="0"/>
      <w:divBdr>
        <w:top w:val="none" w:sz="0" w:space="0" w:color="auto"/>
        <w:left w:val="none" w:sz="0" w:space="0" w:color="auto"/>
        <w:bottom w:val="none" w:sz="0" w:space="0" w:color="auto"/>
        <w:right w:val="none" w:sz="0" w:space="0" w:color="auto"/>
      </w:divBdr>
    </w:div>
    <w:div w:id="462698271">
      <w:bodyDiv w:val="1"/>
      <w:marLeft w:val="0"/>
      <w:marRight w:val="0"/>
      <w:marTop w:val="0"/>
      <w:marBottom w:val="0"/>
      <w:divBdr>
        <w:top w:val="none" w:sz="0" w:space="0" w:color="auto"/>
        <w:left w:val="none" w:sz="0" w:space="0" w:color="auto"/>
        <w:bottom w:val="none" w:sz="0" w:space="0" w:color="auto"/>
        <w:right w:val="none" w:sz="0" w:space="0" w:color="auto"/>
      </w:divBdr>
    </w:div>
    <w:div w:id="496270171">
      <w:bodyDiv w:val="1"/>
      <w:marLeft w:val="0"/>
      <w:marRight w:val="0"/>
      <w:marTop w:val="0"/>
      <w:marBottom w:val="0"/>
      <w:divBdr>
        <w:top w:val="none" w:sz="0" w:space="0" w:color="auto"/>
        <w:left w:val="none" w:sz="0" w:space="0" w:color="auto"/>
        <w:bottom w:val="none" w:sz="0" w:space="0" w:color="auto"/>
        <w:right w:val="none" w:sz="0" w:space="0" w:color="auto"/>
      </w:divBdr>
    </w:div>
    <w:div w:id="732041596">
      <w:bodyDiv w:val="1"/>
      <w:marLeft w:val="0"/>
      <w:marRight w:val="0"/>
      <w:marTop w:val="0"/>
      <w:marBottom w:val="0"/>
      <w:divBdr>
        <w:top w:val="none" w:sz="0" w:space="0" w:color="auto"/>
        <w:left w:val="none" w:sz="0" w:space="0" w:color="auto"/>
        <w:bottom w:val="none" w:sz="0" w:space="0" w:color="auto"/>
        <w:right w:val="none" w:sz="0" w:space="0" w:color="auto"/>
      </w:divBdr>
    </w:div>
    <w:div w:id="797841446">
      <w:bodyDiv w:val="1"/>
      <w:marLeft w:val="0"/>
      <w:marRight w:val="0"/>
      <w:marTop w:val="0"/>
      <w:marBottom w:val="0"/>
      <w:divBdr>
        <w:top w:val="none" w:sz="0" w:space="0" w:color="auto"/>
        <w:left w:val="none" w:sz="0" w:space="0" w:color="auto"/>
        <w:bottom w:val="none" w:sz="0" w:space="0" w:color="auto"/>
        <w:right w:val="none" w:sz="0" w:space="0" w:color="auto"/>
      </w:divBdr>
    </w:div>
    <w:div w:id="1129207456">
      <w:bodyDiv w:val="1"/>
      <w:marLeft w:val="0"/>
      <w:marRight w:val="0"/>
      <w:marTop w:val="0"/>
      <w:marBottom w:val="0"/>
      <w:divBdr>
        <w:top w:val="none" w:sz="0" w:space="0" w:color="auto"/>
        <w:left w:val="none" w:sz="0" w:space="0" w:color="auto"/>
        <w:bottom w:val="none" w:sz="0" w:space="0" w:color="auto"/>
        <w:right w:val="none" w:sz="0" w:space="0" w:color="auto"/>
      </w:divBdr>
    </w:div>
    <w:div w:id="1783105945">
      <w:bodyDiv w:val="1"/>
      <w:marLeft w:val="0"/>
      <w:marRight w:val="0"/>
      <w:marTop w:val="0"/>
      <w:marBottom w:val="0"/>
      <w:divBdr>
        <w:top w:val="none" w:sz="0" w:space="0" w:color="auto"/>
        <w:left w:val="none" w:sz="0" w:space="0" w:color="auto"/>
        <w:bottom w:val="none" w:sz="0" w:space="0" w:color="auto"/>
        <w:right w:val="none" w:sz="0" w:space="0" w:color="auto"/>
      </w:divBdr>
    </w:div>
    <w:div w:id="1797407307">
      <w:bodyDiv w:val="1"/>
      <w:marLeft w:val="0"/>
      <w:marRight w:val="0"/>
      <w:marTop w:val="0"/>
      <w:marBottom w:val="0"/>
      <w:divBdr>
        <w:top w:val="none" w:sz="0" w:space="0" w:color="auto"/>
        <w:left w:val="none" w:sz="0" w:space="0" w:color="auto"/>
        <w:bottom w:val="none" w:sz="0" w:space="0" w:color="auto"/>
        <w:right w:val="none" w:sz="0" w:space="0" w:color="auto"/>
      </w:divBdr>
    </w:div>
    <w:div w:id="1966230022">
      <w:bodyDiv w:val="1"/>
      <w:marLeft w:val="0"/>
      <w:marRight w:val="0"/>
      <w:marTop w:val="0"/>
      <w:marBottom w:val="0"/>
      <w:divBdr>
        <w:top w:val="none" w:sz="0" w:space="0" w:color="auto"/>
        <w:left w:val="none" w:sz="0" w:space="0" w:color="auto"/>
        <w:bottom w:val="none" w:sz="0" w:space="0" w:color="auto"/>
        <w:right w:val="none" w:sz="0" w:space="0" w:color="auto"/>
      </w:divBdr>
    </w:div>
    <w:div w:id="2080783276">
      <w:bodyDiv w:val="1"/>
      <w:marLeft w:val="0"/>
      <w:marRight w:val="0"/>
      <w:marTop w:val="0"/>
      <w:marBottom w:val="0"/>
      <w:divBdr>
        <w:top w:val="none" w:sz="0" w:space="0" w:color="auto"/>
        <w:left w:val="none" w:sz="0" w:space="0" w:color="auto"/>
        <w:bottom w:val="none" w:sz="0" w:space="0" w:color="auto"/>
        <w:right w:val="none" w:sz="0" w:space="0" w:color="auto"/>
      </w:divBdr>
    </w:div>
    <w:div w:id="209014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ily.Hindle@equalityhumanright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qualityhumanright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equalityhumanrights.com/sites/default/files/parliamentary_breifing_specialist_services_for_survivors_of_domestic_abuse.docx" TargetMode="External"/><Relationship Id="rId13" Type="http://schemas.openxmlformats.org/officeDocument/2006/relationships/hyperlink" Target="https://www.gov.uk/government/news/new-measures-to-allow-ratification-of-istanbul-convention" TargetMode="External"/><Relationship Id="rId18" Type="http://schemas.openxmlformats.org/officeDocument/2006/relationships/hyperlink" Target="https://publications.parliament.uk/pa/jt201719/jtselect/jtddab/2075/2075.pdf" TargetMode="External"/><Relationship Id="rId26" Type="http://schemas.openxmlformats.org/officeDocument/2006/relationships/hyperlink" Target="https://www.ons.gov.uk/peoplepopulationandcommunity/crimeandjustice/datasets/domesticabuseprevalenceandvictimcharacteristicsappendixtables" TargetMode="External"/><Relationship Id="rId3" Type="http://schemas.openxmlformats.org/officeDocument/2006/relationships/hyperlink" Target="https://www.bbc.co.uk/news/uk-53498675" TargetMode="External"/><Relationship Id="rId21" Type="http://schemas.openxmlformats.org/officeDocument/2006/relationships/hyperlink" Target="https://www.ons.gov.uk/peoplepopulationandcommunity/crimeandjustice/compendium/focusonviolentcrimeandsexualoffences/yearendingmarch2016/domesticabusesexualassaultandstalking" TargetMode="External"/><Relationship Id="rId7" Type="http://schemas.openxmlformats.org/officeDocument/2006/relationships/hyperlink" Target="https://www.ons.gov.uk/peoplepopulationandcommunity/crimeandjustice/datasets/domesticabuseprevalenceandvictimcharacteristicsappendixtables" TargetMode="External"/><Relationship Id="rId12" Type="http://schemas.openxmlformats.org/officeDocument/2006/relationships/hyperlink" Target="https://www.ageuk.org.uk/globalassets/age-uk/documents/reports-and-publications/reports-and-briefings/id204298-domestic-abuse-a5-booklet.pdf" TargetMode="External"/><Relationship Id="rId17" Type="http://schemas.openxmlformats.org/officeDocument/2006/relationships/hyperlink" Target="https://assets.publishing.service.gov.uk/government/uploads/system/uploads/attachment_data/file/592873/alleged-perpetrators-of-abuse-as-litigants-in-person.PDF" TargetMode="External"/><Relationship Id="rId25" Type="http://schemas.openxmlformats.org/officeDocument/2006/relationships/hyperlink" Target="https://www.equalityhumanrights.com/sites/default/files/parliamentary_breifing_specialist_services_for_survivors_of_domestic_abuse.docx" TargetMode="External"/><Relationship Id="rId2" Type="http://schemas.openxmlformats.org/officeDocument/2006/relationships/hyperlink" Target="https://www.bbc.co.uk/news/uk-55073229" TargetMode="External"/><Relationship Id="rId16" Type="http://schemas.openxmlformats.org/officeDocument/2006/relationships/hyperlink" Target="https://www.ons.gov.uk/peoplepopulationandcommunity/crimeandjustice/compendium/focusonviolentcrimeandsexualoffences/yearendingmarch2016/domesticabusesexualassaultandstalking" TargetMode="External"/><Relationship Id="rId20" Type="http://schemas.openxmlformats.org/officeDocument/2006/relationships/hyperlink" Target="https://publications.parliament.uk/pa/cm201719/cmselect/cmhaff/2172/217202.htm" TargetMode="External"/><Relationship Id="rId29" Type="http://schemas.openxmlformats.org/officeDocument/2006/relationships/hyperlink" Target="https://publications.parliament.uk/pa/cm201415/cmpublic/seriouscrime/memo/sc10.htm" TargetMode="External"/><Relationship Id="rId1" Type="http://schemas.openxmlformats.org/officeDocument/2006/relationships/hyperlink" Target="https://assets.publishing.service.gov.uk/government/uploads/system/uploads/attachment_data/file/772202/CCS1218158068-Web_Accessible.pdf" TargetMode="External"/><Relationship Id="rId6" Type="http://schemas.openxmlformats.org/officeDocument/2006/relationships/hyperlink" Target="https://safelives.org.uk/sites/default/files/resources/Safe%20at%20Home%20Report.pdf" TargetMode="External"/><Relationship Id="rId11" Type="http://schemas.openxmlformats.org/officeDocument/2006/relationships/hyperlink" Target="https://safelives.org.uk/sites/default/files/A%20Safe%20Fund%20costing%20domestic%20abuse%20provision%20for%20the%20whole%20family%20in%20England%20and%20Wales_0.pdf" TargetMode="External"/><Relationship Id="rId24" Type="http://schemas.openxmlformats.org/officeDocument/2006/relationships/hyperlink" Target="https://www.legislation.gov.uk/ukpga/2015/9/notes/division/3/5/2/11" TargetMode="External"/><Relationship Id="rId32" Type="http://schemas.openxmlformats.org/officeDocument/2006/relationships/hyperlink" Target="https://www.womensaid.org.uk/information-support/what-is-domestic-abuse/domestic-abuse-is-a-gendered-crime/" TargetMode="External"/><Relationship Id="rId5" Type="http://schemas.openxmlformats.org/officeDocument/2006/relationships/hyperlink" Target="https://publications.parliament.uk/pa/cm5801/cmpublic/DomesticAbuse/memo/DAB63.pdf" TargetMode="External"/><Relationship Id="rId15" Type="http://schemas.openxmlformats.org/officeDocument/2006/relationships/hyperlink" Target="https://www.justiceinspectorates.gov.uk/hmicfrs/news/news-feed/action-needed-by-government-and-police-to-ensure-vulnerable-migrant-victims-of-crime-can-confidently-report-to-police/" TargetMode="External"/><Relationship Id="rId23" Type="http://schemas.openxmlformats.org/officeDocument/2006/relationships/hyperlink" Target="https://www.thetimes.co.uk/article/courts-are-silencing-abused-women-95hrdjqnq?ni-statuscode=acsaz-307" TargetMode="External"/><Relationship Id="rId28" Type="http://schemas.openxmlformats.org/officeDocument/2006/relationships/hyperlink" Target="https://safelives.org.uk/sites/default/files/resources/Disabled%20Survivors%20Too%20CORRECTED.pdf" TargetMode="External"/><Relationship Id="rId10" Type="http://schemas.openxmlformats.org/officeDocument/2006/relationships/hyperlink" Target="https://assets.publishing.service.gov.uk/government/uploads/system/uploads/attachment_data/file/480942/Disability_and_domestic_abuse_topic_overview_FINAL.pdf" TargetMode="External"/><Relationship Id="rId19" Type="http://schemas.openxmlformats.org/officeDocument/2006/relationships/hyperlink" Target="https://1q7dqy2unor827bqjls0c4rn-wpengine.netdna-ssl.com/wp-content/uploads/2015/11/APPG-Inquiry-report-domestic-abuse-child-contact-and-the-family-courts.pdf" TargetMode="External"/><Relationship Id="rId31" Type="http://schemas.openxmlformats.org/officeDocument/2006/relationships/hyperlink" Target="http://www.who.int/violence_injury_prevention/violence/gender.pdf" TargetMode="External"/><Relationship Id="rId4" Type="http://schemas.openxmlformats.org/officeDocument/2006/relationships/hyperlink" Target="https://safelives.org.uk/sites/default/files/resources/SafeLives%20Briefing%20for%20Second%20Reading%20of%20DA%20Bill%2028.04.20_0.pdf" TargetMode="External"/><Relationship Id="rId9" Type="http://schemas.openxmlformats.org/officeDocument/2006/relationships/hyperlink" Target="http://www.galop.org.uk/wp-content/uploads/Galop_RR-v4a.pdf" TargetMode="External"/><Relationship Id="rId14" Type="http://schemas.openxmlformats.org/officeDocument/2006/relationships/hyperlink" Target="https://www.womensaid.org.uk/wp-content/uploads/2019/12/Nowhere-to-Turn-2019-Full-Report.pdf" TargetMode="External"/><Relationship Id="rId22" Type="http://schemas.openxmlformats.org/officeDocument/2006/relationships/hyperlink" Target="https://assets.publishing.service.gov.uk/government/uploads/system/uploads/attachment_data/file/719408/domestic-violence-legal-aid-research-report.pdf" TargetMode="External"/><Relationship Id="rId27" Type="http://schemas.openxmlformats.org/officeDocument/2006/relationships/hyperlink" Target="https://safelives.org.uk/sites/default/files/resources/Disabled%20Survivors%20Too%20CORRECTED.pdf" TargetMode="External"/><Relationship Id="rId30" Type="http://schemas.openxmlformats.org/officeDocument/2006/relationships/hyperlink" Target="https://assets.publishing.service.gov.uk/government/uploads/system/uploads/attachment_data/file/522166/VAWG_Strategy_FINAL_PUBLICATION_MASTER_vRB.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erks\Downloads\General%20briefing%20template%20accessible%20(1).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9FDF"/>
      </a:accent1>
      <a:accent2>
        <a:srgbClr val="009FDF"/>
      </a:accent2>
      <a:accent3>
        <a:srgbClr val="009FDF"/>
      </a:accent3>
      <a:accent4>
        <a:srgbClr val="009FDF"/>
      </a:accent4>
      <a:accent5>
        <a:srgbClr val="009FDF"/>
      </a:accent5>
      <a:accent6>
        <a:srgbClr val="009FD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FB5D5-2947-4C05-B1EE-E24C2FA9FDB6}">
  <ds:schemaRefs>
    <ds:schemaRef ds:uri="http://schemas.microsoft.com/sharepoint/v3/contenttype/forms"/>
  </ds:schemaRefs>
</ds:datastoreItem>
</file>

<file path=customXml/itemProps2.xml><?xml version="1.0" encoding="utf-8"?>
<ds:datastoreItem xmlns:ds="http://schemas.openxmlformats.org/officeDocument/2006/customXml" ds:itemID="{03DB9573-FF2E-4394-AAC9-C84EF770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C23CD4-53A2-4EFC-9349-A8C4853FD586}">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D01A37C-1F4D-4E04-B71E-879EC0EC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briefing template accessible (1).dotx</Template>
  <TotalTime>26</TotalTime>
  <Pages>17</Pages>
  <Words>4303</Words>
  <Characters>23151</Characters>
  <Application>Microsoft Office Word</Application>
  <DocSecurity>4</DocSecurity>
  <Lines>472</Lines>
  <Paragraphs>190</Paragraphs>
  <ScaleCrop>false</ScaleCrop>
  <HeadingPairs>
    <vt:vector size="2" baseType="variant">
      <vt:variant>
        <vt:lpstr>Title</vt:lpstr>
      </vt:variant>
      <vt:variant>
        <vt:i4>1</vt:i4>
      </vt:variant>
    </vt:vector>
  </HeadingPairs>
  <TitlesOfParts>
    <vt:vector size="1" baseType="lpstr">
      <vt:lpstr>Bill briefing committee report</vt:lpstr>
    </vt:vector>
  </TitlesOfParts>
  <Company/>
  <LinksUpToDate>false</LinksUpToDate>
  <CharactersWithSpaces>27264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briefing committee report</dc:title>
  <dc:subject/>
  <dc:creator>Katherine Perks</dc:creator>
  <cp:keywords/>
  <dc:description/>
  <cp:lastModifiedBy>Rachel Longstaff</cp:lastModifiedBy>
  <cp:revision>2</cp:revision>
  <cp:lastPrinted>2020-07-03T10:09:00Z</cp:lastPrinted>
  <dcterms:created xsi:type="dcterms:W3CDTF">2020-12-18T18:27:00Z</dcterms:created>
  <dcterms:modified xsi:type="dcterms:W3CDTF">2020-12-18T18:27:00Z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