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1FE3F" w14:textId="77777777" w:rsidR="002C29BE" w:rsidRDefault="002C29BE" w:rsidP="00E74239">
      <w:pPr>
        <w:pStyle w:val="level1title"/>
      </w:pPr>
      <w:bookmarkStart w:id="0" w:name="_Toc36455379"/>
      <w:bookmarkStart w:id="1" w:name="_Toc36554481"/>
      <w:bookmarkStart w:id="2" w:name="_Toc532893248"/>
    </w:p>
    <w:p w14:paraId="25059732" w14:textId="3EB1BB0F" w:rsidR="0059317E" w:rsidRDefault="00384C0F" w:rsidP="00E74239">
      <w:pPr>
        <w:pStyle w:val="level1title"/>
      </w:pPr>
      <w:bookmarkStart w:id="3" w:name="_Toc61857228"/>
      <w:bookmarkStart w:id="4" w:name="_Toc61857599"/>
      <w:r w:rsidRPr="00E74239">
        <w:t xml:space="preserve">Briefing: </w:t>
      </w:r>
      <w:bookmarkStart w:id="5" w:name="_GoBack"/>
      <w:bookmarkEnd w:id="0"/>
      <w:bookmarkEnd w:id="1"/>
      <w:r w:rsidR="00680515">
        <w:t>Overseas Operations</w:t>
      </w:r>
      <w:r w:rsidR="0059317E">
        <w:t xml:space="preserve"> (Service Personnel and Veterans)</w:t>
      </w:r>
      <w:r w:rsidR="00680515">
        <w:t xml:space="preserve"> Bill</w:t>
      </w:r>
      <w:bookmarkStart w:id="6" w:name="_Toc36455380"/>
      <w:bookmarkStart w:id="7" w:name="_Toc36554482"/>
      <w:bookmarkEnd w:id="3"/>
      <w:bookmarkEnd w:id="4"/>
      <w:r w:rsidR="0059317E">
        <w:t xml:space="preserve"> </w:t>
      </w:r>
    </w:p>
    <w:p w14:paraId="5C22174D" w14:textId="524B5269" w:rsidR="00384C0F" w:rsidRDefault="00384C0F" w:rsidP="00E74239">
      <w:pPr>
        <w:pStyle w:val="level1title"/>
      </w:pPr>
      <w:bookmarkStart w:id="8" w:name="_Toc61857229"/>
      <w:bookmarkStart w:id="9" w:name="_Toc61857600"/>
      <w:r w:rsidRPr="00E74239">
        <w:t xml:space="preserve">House of </w:t>
      </w:r>
      <w:r w:rsidR="00546FFE">
        <w:t>Lords</w:t>
      </w:r>
      <w:r w:rsidRPr="00E74239">
        <w:t>, Second Reading</w:t>
      </w:r>
      <w:bookmarkEnd w:id="6"/>
      <w:bookmarkEnd w:id="7"/>
      <w:bookmarkEnd w:id="8"/>
      <w:bookmarkEnd w:id="9"/>
      <w:bookmarkEnd w:id="5"/>
    </w:p>
    <w:p w14:paraId="7795F892" w14:textId="77777777" w:rsidR="00402085" w:rsidRPr="00E74239" w:rsidRDefault="00402085" w:rsidP="00E74239">
      <w:pPr>
        <w:pStyle w:val="level1title"/>
      </w:pPr>
    </w:p>
    <w:p w14:paraId="7D83F160" w14:textId="36AC82F5" w:rsidR="00992428" w:rsidRDefault="00546FFE" w:rsidP="00384C0F">
      <w:r>
        <w:t>January 2021</w:t>
      </w:r>
    </w:p>
    <w:p w14:paraId="205E9397" w14:textId="72EF6509" w:rsidR="00D82D0C" w:rsidRDefault="00D82D0C">
      <w:pPr>
        <w:spacing w:after="160" w:line="259" w:lineRule="auto"/>
      </w:pPr>
      <w:bookmarkStart w:id="10" w:name="_Toc36554483"/>
    </w:p>
    <w:p w14:paraId="6503EDEC" w14:textId="77777777" w:rsidR="00D82D0C" w:rsidRDefault="00D82D0C">
      <w:pPr>
        <w:spacing w:after="160" w:line="259" w:lineRule="auto"/>
      </w:pPr>
    </w:p>
    <w:sdt>
      <w:sdtPr>
        <w:id w:val="-838542364"/>
        <w:docPartObj>
          <w:docPartGallery w:val="Table of Contents"/>
          <w:docPartUnique/>
        </w:docPartObj>
      </w:sdtPr>
      <w:sdtEndPr>
        <w:rPr>
          <w:rFonts w:ascii="Arial" w:eastAsia="Calibri" w:hAnsi="Arial" w:cs="Times New Roman"/>
          <w:b/>
          <w:bCs/>
          <w:noProof/>
          <w:color w:val="auto"/>
          <w:sz w:val="24"/>
          <w:szCs w:val="22"/>
          <w:lang w:val="en-GB"/>
        </w:rPr>
      </w:sdtEndPr>
      <w:sdtContent>
        <w:p w14:paraId="621699CA" w14:textId="6B52EAB3" w:rsidR="00D82D0C" w:rsidRPr="00D82D0C" w:rsidRDefault="00D82D0C">
          <w:pPr>
            <w:pStyle w:val="TOCHeading"/>
            <w:rPr>
              <w:rFonts w:ascii="Arial" w:hAnsi="Arial" w:cs="Arial"/>
              <w:color w:val="auto"/>
            </w:rPr>
          </w:pPr>
          <w:r w:rsidRPr="00D82D0C">
            <w:rPr>
              <w:rFonts w:ascii="Arial" w:hAnsi="Arial" w:cs="Arial"/>
              <w:color w:val="auto"/>
            </w:rPr>
            <w:t>Contents</w:t>
          </w:r>
        </w:p>
        <w:p w14:paraId="27182BD6" w14:textId="09AB8D93" w:rsidR="00D82D0C" w:rsidRDefault="00D82D0C">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14:paraId="65568256" w14:textId="2DCA2A51" w:rsidR="00D82D0C" w:rsidRDefault="00D82D0C">
          <w:pPr>
            <w:pStyle w:val="TOC2"/>
            <w:tabs>
              <w:tab w:val="right" w:leader="dot" w:pos="9016"/>
            </w:tabs>
            <w:rPr>
              <w:rFonts w:asciiTheme="minorHAnsi" w:eastAsiaTheme="minorEastAsia" w:hAnsiTheme="minorHAnsi" w:cstheme="minorBidi"/>
              <w:noProof/>
              <w:sz w:val="22"/>
              <w:lang w:eastAsia="en-GB"/>
            </w:rPr>
          </w:pPr>
          <w:hyperlink w:anchor="_Toc61857601" w:history="1">
            <w:r w:rsidRPr="00DE7B2E">
              <w:rPr>
                <w:rStyle w:val="Hyperlink"/>
                <w:noProof/>
              </w:rPr>
              <w:t>Introduction</w:t>
            </w:r>
            <w:r>
              <w:rPr>
                <w:noProof/>
                <w:webHidden/>
              </w:rPr>
              <w:tab/>
            </w:r>
            <w:r>
              <w:rPr>
                <w:noProof/>
                <w:webHidden/>
              </w:rPr>
              <w:fldChar w:fldCharType="begin"/>
            </w:r>
            <w:r>
              <w:rPr>
                <w:noProof/>
                <w:webHidden/>
              </w:rPr>
              <w:instrText xml:space="preserve"> PAGEREF _Toc61857601 \h </w:instrText>
            </w:r>
            <w:r>
              <w:rPr>
                <w:noProof/>
                <w:webHidden/>
              </w:rPr>
            </w:r>
            <w:r>
              <w:rPr>
                <w:noProof/>
                <w:webHidden/>
              </w:rPr>
              <w:fldChar w:fldCharType="separate"/>
            </w:r>
            <w:r>
              <w:rPr>
                <w:noProof/>
                <w:webHidden/>
              </w:rPr>
              <w:t>2</w:t>
            </w:r>
            <w:r>
              <w:rPr>
                <w:noProof/>
                <w:webHidden/>
              </w:rPr>
              <w:fldChar w:fldCharType="end"/>
            </w:r>
          </w:hyperlink>
        </w:p>
        <w:p w14:paraId="42D31607" w14:textId="449EF3BD" w:rsidR="00D82D0C" w:rsidRDefault="00D82D0C">
          <w:pPr>
            <w:pStyle w:val="TOC2"/>
            <w:tabs>
              <w:tab w:val="right" w:leader="dot" w:pos="9016"/>
            </w:tabs>
            <w:rPr>
              <w:rFonts w:asciiTheme="minorHAnsi" w:eastAsiaTheme="minorEastAsia" w:hAnsiTheme="minorHAnsi" w:cstheme="minorBidi"/>
              <w:noProof/>
              <w:sz w:val="22"/>
              <w:lang w:eastAsia="en-GB"/>
            </w:rPr>
          </w:pPr>
          <w:hyperlink w:anchor="_Toc61857602" w:history="1">
            <w:r w:rsidRPr="00DE7B2E">
              <w:rPr>
                <w:rStyle w:val="Hyperlink"/>
                <w:noProof/>
                <w:lang w:eastAsia="en-GB"/>
              </w:rPr>
              <w:t>Recommendations</w:t>
            </w:r>
            <w:r>
              <w:rPr>
                <w:noProof/>
                <w:webHidden/>
              </w:rPr>
              <w:tab/>
            </w:r>
            <w:r>
              <w:rPr>
                <w:noProof/>
                <w:webHidden/>
              </w:rPr>
              <w:fldChar w:fldCharType="begin"/>
            </w:r>
            <w:r>
              <w:rPr>
                <w:noProof/>
                <w:webHidden/>
              </w:rPr>
              <w:instrText xml:space="preserve"> PAGEREF _Toc61857602 \h </w:instrText>
            </w:r>
            <w:r>
              <w:rPr>
                <w:noProof/>
                <w:webHidden/>
              </w:rPr>
            </w:r>
            <w:r>
              <w:rPr>
                <w:noProof/>
                <w:webHidden/>
              </w:rPr>
              <w:fldChar w:fldCharType="separate"/>
            </w:r>
            <w:r>
              <w:rPr>
                <w:noProof/>
                <w:webHidden/>
              </w:rPr>
              <w:t>4</w:t>
            </w:r>
            <w:r>
              <w:rPr>
                <w:noProof/>
                <w:webHidden/>
              </w:rPr>
              <w:fldChar w:fldCharType="end"/>
            </w:r>
          </w:hyperlink>
        </w:p>
        <w:p w14:paraId="3700DCE4" w14:textId="46F866FA" w:rsidR="00D82D0C" w:rsidRDefault="00D82D0C">
          <w:pPr>
            <w:pStyle w:val="TOC3"/>
            <w:tabs>
              <w:tab w:val="right" w:leader="dot" w:pos="9016"/>
            </w:tabs>
            <w:rPr>
              <w:rFonts w:asciiTheme="minorHAnsi" w:eastAsiaTheme="minorEastAsia" w:hAnsiTheme="minorHAnsi" w:cstheme="minorBidi"/>
              <w:noProof/>
              <w:sz w:val="22"/>
              <w:lang w:eastAsia="en-GB"/>
            </w:rPr>
          </w:pPr>
          <w:hyperlink w:anchor="_Toc61857603" w:history="1">
            <w:r w:rsidRPr="00DE7B2E">
              <w:rPr>
                <w:rStyle w:val="Hyperlink"/>
                <w:noProof/>
                <w:lang w:eastAsia="en-GB"/>
              </w:rPr>
              <w:t>Statutory presumption against prosecution</w:t>
            </w:r>
            <w:r>
              <w:rPr>
                <w:noProof/>
                <w:webHidden/>
              </w:rPr>
              <w:tab/>
            </w:r>
            <w:r>
              <w:rPr>
                <w:noProof/>
                <w:webHidden/>
              </w:rPr>
              <w:fldChar w:fldCharType="begin"/>
            </w:r>
            <w:r>
              <w:rPr>
                <w:noProof/>
                <w:webHidden/>
              </w:rPr>
              <w:instrText xml:space="preserve"> PAGEREF _Toc61857603 \h </w:instrText>
            </w:r>
            <w:r>
              <w:rPr>
                <w:noProof/>
                <w:webHidden/>
              </w:rPr>
            </w:r>
            <w:r>
              <w:rPr>
                <w:noProof/>
                <w:webHidden/>
              </w:rPr>
              <w:fldChar w:fldCharType="separate"/>
            </w:r>
            <w:r>
              <w:rPr>
                <w:noProof/>
                <w:webHidden/>
              </w:rPr>
              <w:t>4</w:t>
            </w:r>
            <w:r>
              <w:rPr>
                <w:noProof/>
                <w:webHidden/>
              </w:rPr>
              <w:fldChar w:fldCharType="end"/>
            </w:r>
          </w:hyperlink>
        </w:p>
        <w:p w14:paraId="3726E235" w14:textId="3669AA5B" w:rsidR="00D82D0C" w:rsidRDefault="00D82D0C">
          <w:pPr>
            <w:pStyle w:val="TOC3"/>
            <w:tabs>
              <w:tab w:val="right" w:leader="dot" w:pos="9016"/>
            </w:tabs>
            <w:rPr>
              <w:rFonts w:asciiTheme="minorHAnsi" w:eastAsiaTheme="minorEastAsia" w:hAnsiTheme="minorHAnsi" w:cstheme="minorBidi"/>
              <w:noProof/>
              <w:sz w:val="22"/>
              <w:lang w:eastAsia="en-GB"/>
            </w:rPr>
          </w:pPr>
          <w:hyperlink w:anchor="_Toc61857604" w:history="1">
            <w:r w:rsidRPr="00DE7B2E">
              <w:rPr>
                <w:rStyle w:val="Hyperlink"/>
                <w:noProof/>
              </w:rPr>
              <w:t>Limiting courts’ discretion</w:t>
            </w:r>
            <w:r>
              <w:rPr>
                <w:noProof/>
                <w:webHidden/>
              </w:rPr>
              <w:tab/>
            </w:r>
            <w:r>
              <w:rPr>
                <w:noProof/>
                <w:webHidden/>
              </w:rPr>
              <w:fldChar w:fldCharType="begin"/>
            </w:r>
            <w:r>
              <w:rPr>
                <w:noProof/>
                <w:webHidden/>
              </w:rPr>
              <w:instrText xml:space="preserve"> PAGEREF _Toc61857604 \h </w:instrText>
            </w:r>
            <w:r>
              <w:rPr>
                <w:noProof/>
                <w:webHidden/>
              </w:rPr>
            </w:r>
            <w:r>
              <w:rPr>
                <w:noProof/>
                <w:webHidden/>
              </w:rPr>
              <w:fldChar w:fldCharType="separate"/>
            </w:r>
            <w:r>
              <w:rPr>
                <w:noProof/>
                <w:webHidden/>
              </w:rPr>
              <w:t>10</w:t>
            </w:r>
            <w:r>
              <w:rPr>
                <w:noProof/>
                <w:webHidden/>
              </w:rPr>
              <w:fldChar w:fldCharType="end"/>
            </w:r>
          </w:hyperlink>
        </w:p>
        <w:p w14:paraId="69C0DAC0" w14:textId="12A3B120" w:rsidR="00D82D0C" w:rsidRDefault="00D82D0C">
          <w:pPr>
            <w:pStyle w:val="TOC3"/>
            <w:tabs>
              <w:tab w:val="right" w:leader="dot" w:pos="9016"/>
            </w:tabs>
            <w:rPr>
              <w:rFonts w:asciiTheme="minorHAnsi" w:eastAsiaTheme="minorEastAsia" w:hAnsiTheme="minorHAnsi" w:cstheme="minorBidi"/>
              <w:noProof/>
              <w:sz w:val="22"/>
              <w:lang w:eastAsia="en-GB"/>
            </w:rPr>
          </w:pPr>
          <w:hyperlink w:anchor="_Toc61857605" w:history="1">
            <w:r w:rsidRPr="00DE7B2E">
              <w:rPr>
                <w:rStyle w:val="Hyperlink"/>
                <w:noProof/>
              </w:rPr>
              <w:t>Remove clause 12</w:t>
            </w:r>
            <w:r>
              <w:rPr>
                <w:noProof/>
                <w:webHidden/>
              </w:rPr>
              <w:tab/>
            </w:r>
            <w:r>
              <w:rPr>
                <w:noProof/>
                <w:webHidden/>
              </w:rPr>
              <w:fldChar w:fldCharType="begin"/>
            </w:r>
            <w:r>
              <w:rPr>
                <w:noProof/>
                <w:webHidden/>
              </w:rPr>
              <w:instrText xml:space="preserve"> PAGEREF _Toc61857605 \h </w:instrText>
            </w:r>
            <w:r>
              <w:rPr>
                <w:noProof/>
                <w:webHidden/>
              </w:rPr>
            </w:r>
            <w:r>
              <w:rPr>
                <w:noProof/>
                <w:webHidden/>
              </w:rPr>
              <w:fldChar w:fldCharType="separate"/>
            </w:r>
            <w:r>
              <w:rPr>
                <w:noProof/>
                <w:webHidden/>
              </w:rPr>
              <w:t>11</w:t>
            </w:r>
            <w:r>
              <w:rPr>
                <w:noProof/>
                <w:webHidden/>
              </w:rPr>
              <w:fldChar w:fldCharType="end"/>
            </w:r>
          </w:hyperlink>
        </w:p>
        <w:p w14:paraId="2694ED3D" w14:textId="679B56F4" w:rsidR="00D82D0C" w:rsidRDefault="00D82D0C">
          <w:pPr>
            <w:pStyle w:val="TOC2"/>
            <w:tabs>
              <w:tab w:val="right" w:leader="dot" w:pos="9016"/>
            </w:tabs>
            <w:rPr>
              <w:rFonts w:asciiTheme="minorHAnsi" w:eastAsiaTheme="minorEastAsia" w:hAnsiTheme="minorHAnsi" w:cstheme="minorBidi"/>
              <w:noProof/>
              <w:sz w:val="22"/>
              <w:lang w:eastAsia="en-GB"/>
            </w:rPr>
          </w:pPr>
          <w:hyperlink w:anchor="_Toc61857606" w:history="1">
            <w:r w:rsidRPr="00DE7B2E">
              <w:rPr>
                <w:rStyle w:val="Hyperlink"/>
                <w:noProof/>
              </w:rPr>
              <w:t>Further information</w:t>
            </w:r>
            <w:r>
              <w:rPr>
                <w:noProof/>
                <w:webHidden/>
              </w:rPr>
              <w:tab/>
            </w:r>
            <w:r>
              <w:rPr>
                <w:noProof/>
                <w:webHidden/>
              </w:rPr>
              <w:fldChar w:fldCharType="begin"/>
            </w:r>
            <w:r>
              <w:rPr>
                <w:noProof/>
                <w:webHidden/>
              </w:rPr>
              <w:instrText xml:space="preserve"> PAGEREF _Toc61857606 \h </w:instrText>
            </w:r>
            <w:r>
              <w:rPr>
                <w:noProof/>
                <w:webHidden/>
              </w:rPr>
            </w:r>
            <w:r>
              <w:rPr>
                <w:noProof/>
                <w:webHidden/>
              </w:rPr>
              <w:fldChar w:fldCharType="separate"/>
            </w:r>
            <w:r>
              <w:rPr>
                <w:noProof/>
                <w:webHidden/>
              </w:rPr>
              <w:t>13</w:t>
            </w:r>
            <w:r>
              <w:rPr>
                <w:noProof/>
                <w:webHidden/>
              </w:rPr>
              <w:fldChar w:fldCharType="end"/>
            </w:r>
          </w:hyperlink>
        </w:p>
        <w:p w14:paraId="1816B8B8" w14:textId="67FCC80E" w:rsidR="00D82D0C" w:rsidRDefault="00D82D0C">
          <w:r>
            <w:rPr>
              <w:b/>
              <w:bCs/>
              <w:noProof/>
            </w:rPr>
            <w:fldChar w:fldCharType="end"/>
          </w:r>
        </w:p>
      </w:sdtContent>
    </w:sdt>
    <w:p w14:paraId="4230B155" w14:textId="27F29583" w:rsidR="00D82D0C" w:rsidRDefault="00D82D0C">
      <w:pPr>
        <w:spacing w:after="160" w:line="259" w:lineRule="auto"/>
        <w:rPr>
          <w:rFonts w:eastAsia="Times New Roman"/>
          <w:b/>
          <w:bCs/>
          <w:sz w:val="28"/>
          <w:szCs w:val="26"/>
        </w:rPr>
      </w:pPr>
      <w:r>
        <w:br w:type="page"/>
      </w:r>
    </w:p>
    <w:p w14:paraId="0E3059DC" w14:textId="2E926B72" w:rsidR="002C1949" w:rsidRPr="00DD3D0F" w:rsidRDefault="002C1949" w:rsidP="00534703">
      <w:pPr>
        <w:pStyle w:val="level2section"/>
      </w:pPr>
      <w:bookmarkStart w:id="11" w:name="_Toc61857601"/>
      <w:r w:rsidRPr="00DD3D0F">
        <w:lastRenderedPageBreak/>
        <w:t>Introduction</w:t>
      </w:r>
      <w:bookmarkEnd w:id="2"/>
      <w:bookmarkEnd w:id="10"/>
      <w:bookmarkEnd w:id="11"/>
    </w:p>
    <w:p w14:paraId="7D3FF286" w14:textId="5E1DF507" w:rsidR="00DB606D" w:rsidRDefault="00384C0F" w:rsidP="001171A0">
      <w:pPr>
        <w:pStyle w:val="mainbodycopy"/>
      </w:pPr>
      <w:bookmarkStart w:id="12" w:name="_Toc532893250"/>
      <w:r w:rsidRPr="00D24237">
        <w:t xml:space="preserve">The Equality and Human Rights Commission </w:t>
      </w:r>
      <w:proofErr w:type="gramStart"/>
      <w:r w:rsidRPr="00D24237">
        <w:t>has been given</w:t>
      </w:r>
      <w:proofErr w:type="gramEnd"/>
      <w:r w:rsidRPr="00D24237">
        <w:t xml:space="preserve"> powers by Parliament to advise Government on the equality and human rights implications of laws and proposed laws and to publish information or provide advice, including to Parliament, on any matter related to equality, diversity and human rights. </w:t>
      </w:r>
    </w:p>
    <w:p w14:paraId="3E4E01FB" w14:textId="4D7C254C" w:rsidR="00D01AD5" w:rsidRDefault="00343E58" w:rsidP="001171A0">
      <w:pPr>
        <w:pStyle w:val="mainbodycopy"/>
      </w:pPr>
      <w:r>
        <w:t>T</w:t>
      </w:r>
      <w:r w:rsidRPr="004D0741">
        <w:t xml:space="preserve">he Overseas Operations (Service Personnel </w:t>
      </w:r>
      <w:r>
        <w:t xml:space="preserve">and Veterans) Bill (‘the Bill’) </w:t>
      </w:r>
      <w:proofErr w:type="gramStart"/>
      <w:r>
        <w:t>was introduced</w:t>
      </w:r>
      <w:proofErr w:type="gramEnd"/>
      <w:r>
        <w:t xml:space="preserve"> to Parliament in March 2020 and includes a series of proposals that would limit criminal and civil claims relating to the conduct of UK service personnel operating overseas.</w:t>
      </w:r>
      <w:r>
        <w:rPr>
          <w:rStyle w:val="FootnoteReference"/>
        </w:rPr>
        <w:footnoteReference w:id="1"/>
      </w:r>
      <w:r>
        <w:t xml:space="preserve"> </w:t>
      </w:r>
      <w:r w:rsidR="00402085">
        <w:t>The Bill proposes</w:t>
      </w:r>
      <w:r w:rsidR="00BD5CB3">
        <w:t xml:space="preserve"> a ‘</w:t>
      </w:r>
      <w:r w:rsidR="00BD5CB3" w:rsidRPr="0094368E">
        <w:rPr>
          <w:b/>
        </w:rPr>
        <w:t>presumption against prosecution</w:t>
      </w:r>
      <w:r w:rsidR="00BD5CB3">
        <w:t xml:space="preserve">’ of service personnel accused of committing a crime overseas if more than five years </w:t>
      </w:r>
      <w:r w:rsidR="00EA475F">
        <w:t xml:space="preserve">have </w:t>
      </w:r>
      <w:r w:rsidR="00BD5CB3">
        <w:t>passed since the alleged offence took place.</w:t>
      </w:r>
      <w:r w:rsidR="00BD5CB3">
        <w:rPr>
          <w:rStyle w:val="FootnoteReference"/>
        </w:rPr>
        <w:footnoteReference w:id="2"/>
      </w:r>
    </w:p>
    <w:p w14:paraId="2E21CED8" w14:textId="38731506" w:rsidR="00BD5CB3" w:rsidRDefault="00BD5CB3" w:rsidP="001171A0">
      <w:pPr>
        <w:pStyle w:val="mainbodycopy"/>
      </w:pPr>
      <w:r>
        <w:t xml:space="preserve">If passed, the Bill will also impose a </w:t>
      </w:r>
      <w:r w:rsidRPr="0094368E">
        <w:rPr>
          <w:b/>
        </w:rPr>
        <w:t>time limit on civil claims</w:t>
      </w:r>
      <w:r>
        <w:t xml:space="preserve"> for personal injury and death,</w:t>
      </w:r>
      <w:r>
        <w:rPr>
          <w:rStyle w:val="FootnoteReference"/>
        </w:rPr>
        <w:footnoteReference w:id="3"/>
      </w:r>
      <w:r>
        <w:t xml:space="preserve"> </w:t>
      </w:r>
      <w:r w:rsidR="002C29BE">
        <w:t>and</w:t>
      </w:r>
      <w:r w:rsidR="00E37F68">
        <w:t xml:space="preserve"> a </w:t>
      </w:r>
      <w:r w:rsidR="00E37F68" w:rsidRPr="0094368E">
        <w:rPr>
          <w:b/>
        </w:rPr>
        <w:t>time limit</w:t>
      </w:r>
      <w:r w:rsidR="002C29BE" w:rsidRPr="0094368E">
        <w:rPr>
          <w:b/>
        </w:rPr>
        <w:t xml:space="preserve"> on </w:t>
      </w:r>
      <w:r w:rsidRPr="0094368E">
        <w:rPr>
          <w:b/>
        </w:rPr>
        <w:t>human rights claims</w:t>
      </w:r>
      <w:r>
        <w:t xml:space="preserve"> under the Human Rights Act 1988 (HRA),</w:t>
      </w:r>
      <w:r>
        <w:rPr>
          <w:rStyle w:val="FootnoteReference"/>
        </w:rPr>
        <w:footnoteReference w:id="4"/>
      </w:r>
      <w:r>
        <w:t xml:space="preserve"> where the conduct in question took place in the context of overseas operations by the UK armed forces. </w:t>
      </w:r>
      <w:r w:rsidR="007D4976">
        <w:t xml:space="preserve">The Bill includes a further </w:t>
      </w:r>
      <w:r w:rsidR="007D4976" w:rsidRPr="0094368E">
        <w:rPr>
          <w:b/>
        </w:rPr>
        <w:t>requirement that the Secretary of State consider derogating from the European Convention on Human Rights</w:t>
      </w:r>
      <w:r w:rsidR="007D4976">
        <w:t xml:space="preserve"> (ECHR) in relation to future overseas operations.</w:t>
      </w:r>
      <w:r w:rsidR="007D4976">
        <w:rPr>
          <w:rStyle w:val="FootnoteReference"/>
        </w:rPr>
        <w:footnoteReference w:id="5"/>
      </w:r>
      <w:r w:rsidR="007D4976">
        <w:t xml:space="preserve"> </w:t>
      </w:r>
    </w:p>
    <w:p w14:paraId="642D4EF4" w14:textId="77777777" w:rsidR="00DA3ABF" w:rsidRDefault="00402085" w:rsidP="001171A0">
      <w:pPr>
        <w:pStyle w:val="mainbodycopy"/>
      </w:pPr>
      <w:r>
        <w:t>We are concerned that these proposals are incompatible with the UK’s obligations under international law and risk denying victims</w:t>
      </w:r>
      <w:r w:rsidR="00BF2419">
        <w:t xml:space="preserve"> </w:t>
      </w:r>
      <w:r>
        <w:t>access to effective remedy and redress.</w:t>
      </w:r>
      <w:r w:rsidR="00BF2419">
        <w:t xml:space="preserve"> </w:t>
      </w:r>
      <w:r w:rsidR="00EB3FC5">
        <w:t>Other potential consequences, perhaps unintended, include</w:t>
      </w:r>
      <w:r w:rsidR="00BF2419">
        <w:t xml:space="preserve"> reducing protections for British service personnel serving overseas, and increas</w:t>
      </w:r>
      <w:r w:rsidR="00EB3FC5">
        <w:t>ing</w:t>
      </w:r>
      <w:r w:rsidR="00BF2419">
        <w:t xml:space="preserve"> the likelihood of judgments against the UK in international courts</w:t>
      </w:r>
      <w:r w:rsidR="00D82EA5">
        <w:t>,</w:t>
      </w:r>
      <w:r w:rsidR="007456E7">
        <w:t xml:space="preserve"> including the </w:t>
      </w:r>
      <w:r w:rsidR="007456E7">
        <w:lastRenderedPageBreak/>
        <w:t>International Criminal Court (ICC) and the European Court of Human Rights (</w:t>
      </w:r>
      <w:proofErr w:type="spellStart"/>
      <w:r w:rsidR="007456E7">
        <w:t>ECtHR</w:t>
      </w:r>
      <w:proofErr w:type="spellEnd"/>
      <w:r w:rsidR="007456E7">
        <w:t>)</w:t>
      </w:r>
      <w:r w:rsidR="00BF2419">
        <w:t>.</w:t>
      </w:r>
      <w:r>
        <w:t xml:space="preserve"> </w:t>
      </w:r>
    </w:p>
    <w:p w14:paraId="66EA566C" w14:textId="787D47CF" w:rsidR="00402085" w:rsidRPr="00DB606D" w:rsidRDefault="00A724F2" w:rsidP="001171A0">
      <w:pPr>
        <w:pStyle w:val="mainbodycopy"/>
      </w:pPr>
      <w:r>
        <w:t>In light of the Government’s aspirations to be a global leader on human rights post-</w:t>
      </w:r>
      <w:proofErr w:type="spellStart"/>
      <w:r>
        <w:t>Brexit</w:t>
      </w:r>
      <w:proofErr w:type="spellEnd"/>
      <w:r w:rsidR="00DA3ABF" w:rsidRPr="00DA3ABF">
        <w:t>, it is imperative that</w:t>
      </w:r>
      <w:r w:rsidR="000D77A4">
        <w:t xml:space="preserve"> the UK </w:t>
      </w:r>
      <w:proofErr w:type="gramStart"/>
      <w:r w:rsidR="000D77A4">
        <w:t>is</w:t>
      </w:r>
      <w:r w:rsidR="009717F6">
        <w:t xml:space="preserve"> </w:t>
      </w:r>
      <w:r w:rsidR="00DA3ABF">
        <w:t>seen</w:t>
      </w:r>
      <w:proofErr w:type="gramEnd"/>
      <w:r w:rsidR="00DA3ABF">
        <w:t xml:space="preserve"> to </w:t>
      </w:r>
      <w:r w:rsidR="009717F6">
        <w:t xml:space="preserve">show </w:t>
      </w:r>
      <w:r w:rsidR="000D77A4">
        <w:t xml:space="preserve">the highest </w:t>
      </w:r>
      <w:r w:rsidR="009717F6">
        <w:t>regard for the international legal order</w:t>
      </w:r>
      <w:r w:rsidR="00DA3ABF">
        <w:t xml:space="preserve">. </w:t>
      </w:r>
      <w:r w:rsidR="00402085">
        <w:t xml:space="preserve">The Commission recommends changes to the Bill in three priority areas, which we have </w:t>
      </w:r>
      <w:r w:rsidR="00BC55C3">
        <w:t>highlighted</w:t>
      </w:r>
      <w:r w:rsidR="00402085">
        <w:t xml:space="preserve"> </w:t>
      </w:r>
      <w:proofErr w:type="gramStart"/>
      <w:r w:rsidR="00402085">
        <w:t>below</w:t>
      </w:r>
      <w:proofErr w:type="gramEnd"/>
      <w:r w:rsidR="00402085">
        <w:t>.</w:t>
      </w:r>
    </w:p>
    <w:p w14:paraId="58B4208B" w14:textId="77777777" w:rsidR="00D82D0C" w:rsidRDefault="00D82D0C">
      <w:pPr>
        <w:spacing w:after="160" w:line="259" w:lineRule="auto"/>
        <w:rPr>
          <w:rFonts w:eastAsia="Times New Roman"/>
          <w:b/>
          <w:bCs/>
          <w:noProof/>
          <w:sz w:val="28"/>
          <w:szCs w:val="26"/>
          <w:lang w:eastAsia="en-GB"/>
        </w:rPr>
      </w:pPr>
      <w:bookmarkStart w:id="13" w:name="_Toc36554488"/>
      <w:r>
        <w:rPr>
          <w:noProof/>
          <w:lang w:eastAsia="en-GB"/>
        </w:rPr>
        <w:br w:type="page"/>
      </w:r>
    </w:p>
    <w:p w14:paraId="31D51845" w14:textId="37F8A3E4" w:rsidR="00384C0F" w:rsidRDefault="001171A0" w:rsidP="00384C0F">
      <w:pPr>
        <w:pStyle w:val="level2section"/>
        <w:rPr>
          <w:noProof/>
          <w:lang w:eastAsia="en-GB"/>
        </w:rPr>
      </w:pPr>
      <w:bookmarkStart w:id="14" w:name="_Toc61857602"/>
      <w:r>
        <w:rPr>
          <w:noProof/>
          <w:lang w:eastAsia="en-GB"/>
        </w:rPr>
        <w:t>R</w:t>
      </w:r>
      <w:r w:rsidR="00384C0F" w:rsidRPr="00384C0F">
        <w:rPr>
          <w:noProof/>
          <w:lang w:eastAsia="en-GB"/>
        </w:rPr>
        <w:t>ecommendations</w:t>
      </w:r>
      <w:bookmarkEnd w:id="13"/>
      <w:bookmarkEnd w:id="14"/>
    </w:p>
    <w:p w14:paraId="1656523A" w14:textId="682D2275" w:rsidR="00D82D0C" w:rsidRDefault="00D82D0C" w:rsidP="00D82D0C">
      <w:pPr>
        <w:pStyle w:val="Heading3"/>
        <w:rPr>
          <w:noProof/>
          <w:lang w:eastAsia="en-GB"/>
        </w:rPr>
      </w:pPr>
      <w:bookmarkStart w:id="15" w:name="_Toc61857603"/>
      <w:r>
        <w:rPr>
          <w:noProof/>
          <w:lang w:eastAsia="en-GB"/>
        </w:rPr>
        <w:t>Statutory presumption against prosecution</w:t>
      </w:r>
      <w:bookmarkEnd w:id="15"/>
    </w:p>
    <w:p w14:paraId="268FC3FD" w14:textId="77777777" w:rsidR="00D82D0C" w:rsidRPr="00D82D0C" w:rsidRDefault="00D82D0C" w:rsidP="00D82D0C">
      <w:pPr>
        <w:rPr>
          <w:lang w:eastAsia="en-GB"/>
        </w:rPr>
      </w:pPr>
    </w:p>
    <w:p w14:paraId="5F31880C" w14:textId="4021FCE6" w:rsidR="003F4C6B" w:rsidRDefault="00790877" w:rsidP="00DB606D">
      <w:pPr>
        <w:pStyle w:val="ListParagraph"/>
        <w:numPr>
          <w:ilvl w:val="0"/>
          <w:numId w:val="32"/>
        </w:numPr>
        <w:spacing w:line="360" w:lineRule="auto"/>
        <w:rPr>
          <w:rFonts w:cs="Arial"/>
          <w:b/>
          <w:sz w:val="24"/>
          <w:szCs w:val="24"/>
        </w:rPr>
      </w:pPr>
      <w:r w:rsidRPr="004D0741">
        <w:rPr>
          <w:rFonts w:cs="Arial"/>
          <w:b/>
          <w:sz w:val="24"/>
          <w:szCs w:val="24"/>
        </w:rPr>
        <w:t xml:space="preserve">The UK Government </w:t>
      </w:r>
      <w:r>
        <w:rPr>
          <w:rFonts w:cs="Arial"/>
          <w:b/>
          <w:sz w:val="24"/>
          <w:szCs w:val="24"/>
        </w:rPr>
        <w:t>should</w:t>
      </w:r>
      <w:r w:rsidRPr="004D0741">
        <w:rPr>
          <w:rFonts w:cs="Arial"/>
          <w:b/>
          <w:sz w:val="24"/>
          <w:szCs w:val="24"/>
        </w:rPr>
        <w:t xml:space="preserve"> withdraw </w:t>
      </w:r>
      <w:r w:rsidR="000F53AC" w:rsidRPr="009625D9">
        <w:rPr>
          <w:rFonts w:cs="Arial"/>
          <w:b/>
          <w:sz w:val="24"/>
          <w:szCs w:val="24"/>
        </w:rPr>
        <w:t>legislative proposals for a statutory presumption against the prosecution of current or former military personnel.</w:t>
      </w:r>
      <w:r w:rsidR="007E751D">
        <w:rPr>
          <w:rFonts w:cs="Arial"/>
          <w:b/>
          <w:sz w:val="24"/>
          <w:szCs w:val="24"/>
        </w:rPr>
        <w:t xml:space="preserve"> </w:t>
      </w:r>
      <w:r w:rsidR="007E751D" w:rsidRPr="004D0741">
        <w:rPr>
          <w:rFonts w:cs="Arial"/>
          <w:b/>
          <w:sz w:val="24"/>
          <w:szCs w:val="24"/>
        </w:rPr>
        <w:t>Any revised proposals must be wholly compatible with the UK’s obligations under the existing domestic and international human rights framework.</w:t>
      </w:r>
    </w:p>
    <w:p w14:paraId="4086B6F6" w14:textId="77777777" w:rsidR="009625D9" w:rsidRPr="009625D9" w:rsidRDefault="009625D9" w:rsidP="00D02962">
      <w:pPr>
        <w:pStyle w:val="ListParagraph"/>
        <w:spacing w:line="360" w:lineRule="auto"/>
        <w:ind w:left="360"/>
        <w:rPr>
          <w:rFonts w:cs="Arial"/>
          <w:b/>
          <w:sz w:val="24"/>
          <w:szCs w:val="24"/>
        </w:rPr>
      </w:pPr>
    </w:p>
    <w:p w14:paraId="20582321" w14:textId="3452F112" w:rsidR="003F4C6B" w:rsidRPr="009625D9" w:rsidRDefault="009E287E" w:rsidP="00D02962">
      <w:pPr>
        <w:pStyle w:val="ListParagraph"/>
        <w:spacing w:line="360" w:lineRule="auto"/>
        <w:ind w:left="0"/>
        <w:rPr>
          <w:rFonts w:cs="Arial"/>
          <w:sz w:val="24"/>
          <w:szCs w:val="24"/>
        </w:rPr>
      </w:pPr>
      <w:r w:rsidRPr="009E287E">
        <w:rPr>
          <w:rFonts w:cs="Arial"/>
          <w:sz w:val="24"/>
          <w:szCs w:val="24"/>
        </w:rPr>
        <w:t>As currently drafted, the Bill creates a statutory ‘presumption against the prosecution’ of current or former military personnel if more than five years have passed since the alleged offence took place, stating that such a prosecution would be ‘exceptional’.</w:t>
      </w:r>
      <w:r w:rsidRPr="009E287E">
        <w:rPr>
          <w:rFonts w:cs="Arial"/>
          <w:sz w:val="24"/>
          <w:szCs w:val="24"/>
          <w:vertAlign w:val="superscript"/>
        </w:rPr>
        <w:footnoteReference w:id="6"/>
      </w:r>
      <w:r w:rsidRPr="009E287E">
        <w:rPr>
          <w:rFonts w:cs="Arial"/>
          <w:sz w:val="24"/>
          <w:szCs w:val="24"/>
        </w:rPr>
        <w:t xml:space="preserve"> Under Clause </w:t>
      </w:r>
      <w:proofErr w:type="gramStart"/>
      <w:r w:rsidRPr="009E287E">
        <w:rPr>
          <w:rFonts w:cs="Arial"/>
          <w:sz w:val="24"/>
          <w:szCs w:val="24"/>
        </w:rPr>
        <w:t>3</w:t>
      </w:r>
      <w:proofErr w:type="gramEnd"/>
      <w:r w:rsidRPr="009E287E">
        <w:rPr>
          <w:rFonts w:cs="Arial"/>
          <w:sz w:val="24"/>
          <w:szCs w:val="24"/>
        </w:rPr>
        <w:t xml:space="preserve"> the relevant prosecutor must give ‘particular weight’ to factors that reduce the person’s culpability or otherwise tend against prosecution</w:t>
      </w:r>
      <w:r w:rsidR="00D2663D">
        <w:rPr>
          <w:rFonts w:cs="Arial"/>
          <w:sz w:val="24"/>
          <w:szCs w:val="24"/>
        </w:rPr>
        <w:t>.</w:t>
      </w:r>
      <w:r w:rsidR="00532FE6" w:rsidRPr="009625D9">
        <w:rPr>
          <w:sz w:val="24"/>
          <w:szCs w:val="24"/>
          <w:vertAlign w:val="superscript"/>
        </w:rPr>
        <w:footnoteReference w:id="7"/>
      </w:r>
      <w:r w:rsidR="00532FE6" w:rsidRPr="009625D9">
        <w:rPr>
          <w:rFonts w:cs="Arial"/>
          <w:sz w:val="24"/>
          <w:szCs w:val="24"/>
          <w:vertAlign w:val="superscript"/>
        </w:rPr>
        <w:t xml:space="preserve"> </w:t>
      </w:r>
      <w:r w:rsidR="00A76E0C">
        <w:rPr>
          <w:rFonts w:cs="Arial"/>
          <w:sz w:val="24"/>
          <w:szCs w:val="24"/>
          <w:vertAlign w:val="superscript"/>
        </w:rPr>
        <w:t xml:space="preserve"> </w:t>
      </w:r>
      <w:r w:rsidR="00D2663D">
        <w:rPr>
          <w:rFonts w:cs="Arial"/>
          <w:sz w:val="24"/>
          <w:szCs w:val="24"/>
        </w:rPr>
        <w:t xml:space="preserve">‘Particular weight’ </w:t>
      </w:r>
      <w:proofErr w:type="gramStart"/>
      <w:r w:rsidR="00D2663D">
        <w:rPr>
          <w:rFonts w:cs="Arial"/>
          <w:sz w:val="24"/>
          <w:szCs w:val="24"/>
        </w:rPr>
        <w:t>would also be given</w:t>
      </w:r>
      <w:proofErr w:type="gramEnd"/>
      <w:r w:rsidR="00D2663D">
        <w:rPr>
          <w:rFonts w:cs="Arial"/>
          <w:sz w:val="24"/>
          <w:szCs w:val="24"/>
        </w:rPr>
        <w:t xml:space="preserve"> to the</w:t>
      </w:r>
      <w:r w:rsidR="00532FE6" w:rsidRPr="009625D9">
        <w:rPr>
          <w:rFonts w:cs="Arial"/>
          <w:sz w:val="24"/>
          <w:szCs w:val="24"/>
        </w:rPr>
        <w:t xml:space="preserve"> public interest in finality where there has been a previous investigation and no compelling new evidence has arisen.</w:t>
      </w:r>
      <w:r w:rsidR="00532FE6" w:rsidRPr="009625D9">
        <w:rPr>
          <w:sz w:val="24"/>
          <w:szCs w:val="24"/>
          <w:vertAlign w:val="superscript"/>
        </w:rPr>
        <w:footnoteReference w:id="8"/>
      </w:r>
      <w:r w:rsidR="00532FE6" w:rsidRPr="009625D9">
        <w:rPr>
          <w:rFonts w:cs="Arial"/>
          <w:sz w:val="24"/>
          <w:szCs w:val="24"/>
        </w:rPr>
        <w:t xml:space="preserve"> </w:t>
      </w:r>
      <w:r w:rsidR="00A52C21">
        <w:rPr>
          <w:rFonts w:cs="Arial"/>
          <w:sz w:val="24"/>
          <w:szCs w:val="24"/>
        </w:rPr>
        <w:t>In England and Wales, c</w:t>
      </w:r>
      <w:r w:rsidR="00532FE6" w:rsidRPr="009625D9">
        <w:rPr>
          <w:rFonts w:cs="Arial"/>
          <w:sz w:val="24"/>
          <w:szCs w:val="24"/>
        </w:rPr>
        <w:t xml:space="preserve">onsent </w:t>
      </w:r>
      <w:r w:rsidR="00D2663D" w:rsidRPr="009625D9">
        <w:rPr>
          <w:rFonts w:cs="Arial"/>
          <w:sz w:val="24"/>
          <w:szCs w:val="24"/>
        </w:rPr>
        <w:t xml:space="preserve">from the Attorney General </w:t>
      </w:r>
      <w:r w:rsidR="00532FE6" w:rsidRPr="009625D9">
        <w:rPr>
          <w:rFonts w:cs="Arial"/>
          <w:sz w:val="24"/>
          <w:szCs w:val="24"/>
        </w:rPr>
        <w:t xml:space="preserve">would need to </w:t>
      </w:r>
      <w:proofErr w:type="gramStart"/>
      <w:r w:rsidR="00532FE6" w:rsidRPr="009625D9">
        <w:rPr>
          <w:rFonts w:cs="Arial"/>
          <w:sz w:val="24"/>
          <w:szCs w:val="24"/>
        </w:rPr>
        <w:t>be sought</w:t>
      </w:r>
      <w:proofErr w:type="gramEnd"/>
      <w:r w:rsidR="00532FE6" w:rsidRPr="009625D9">
        <w:rPr>
          <w:rFonts w:cs="Arial"/>
          <w:sz w:val="24"/>
          <w:szCs w:val="24"/>
        </w:rPr>
        <w:t xml:space="preserve"> in order to proceed with criminal proceedings for crimes committed by UK forces overseas more than five years previously.</w:t>
      </w:r>
      <w:r w:rsidR="00532FE6" w:rsidRPr="009625D9">
        <w:rPr>
          <w:sz w:val="24"/>
          <w:szCs w:val="24"/>
          <w:vertAlign w:val="superscript"/>
        </w:rPr>
        <w:footnoteReference w:id="9"/>
      </w:r>
      <w:r w:rsidR="00532FE6" w:rsidRPr="009625D9">
        <w:rPr>
          <w:rFonts w:cs="Arial"/>
          <w:sz w:val="24"/>
          <w:szCs w:val="24"/>
          <w:vertAlign w:val="superscript"/>
        </w:rPr>
        <w:t xml:space="preserve"> </w:t>
      </w:r>
    </w:p>
    <w:p w14:paraId="34427842" w14:textId="0D446899" w:rsidR="009625D9" w:rsidRDefault="009625D9" w:rsidP="00D02962">
      <w:pPr>
        <w:pStyle w:val="ListParagraph"/>
        <w:spacing w:line="360" w:lineRule="auto"/>
        <w:ind w:left="0"/>
        <w:rPr>
          <w:rFonts w:cs="Arial"/>
          <w:sz w:val="24"/>
          <w:szCs w:val="24"/>
        </w:rPr>
      </w:pPr>
    </w:p>
    <w:p w14:paraId="146D5F65" w14:textId="040C7321" w:rsidR="0055171D" w:rsidRDefault="0055171D" w:rsidP="0055171D">
      <w:pPr>
        <w:pStyle w:val="ListParagraph"/>
        <w:numPr>
          <w:ilvl w:val="0"/>
          <w:numId w:val="33"/>
        </w:numPr>
        <w:spacing w:line="360" w:lineRule="auto"/>
        <w:rPr>
          <w:rFonts w:cs="Arial"/>
          <w:sz w:val="24"/>
          <w:szCs w:val="24"/>
        </w:rPr>
      </w:pPr>
      <w:r>
        <w:rPr>
          <w:rFonts w:cs="Arial"/>
          <w:sz w:val="24"/>
          <w:szCs w:val="24"/>
        </w:rPr>
        <w:t xml:space="preserve">Incompatibility with international law </w:t>
      </w:r>
    </w:p>
    <w:p w14:paraId="12781A7E" w14:textId="77777777" w:rsidR="0055171D" w:rsidRPr="009625D9" w:rsidRDefault="0055171D" w:rsidP="00D02962">
      <w:pPr>
        <w:pStyle w:val="ListParagraph"/>
        <w:spacing w:line="360" w:lineRule="auto"/>
        <w:ind w:left="0"/>
        <w:rPr>
          <w:rFonts w:cs="Arial"/>
          <w:sz w:val="24"/>
          <w:szCs w:val="24"/>
        </w:rPr>
      </w:pPr>
    </w:p>
    <w:p w14:paraId="4B4A9F38" w14:textId="3060F214" w:rsidR="00FA0F2C" w:rsidRDefault="00D2663D" w:rsidP="00FA0F2C">
      <w:pPr>
        <w:pStyle w:val="ListParagraph"/>
        <w:spacing w:line="360" w:lineRule="auto"/>
        <w:ind w:left="0"/>
        <w:rPr>
          <w:rFonts w:cs="Arial"/>
          <w:sz w:val="24"/>
          <w:szCs w:val="24"/>
        </w:rPr>
      </w:pPr>
      <w:r>
        <w:rPr>
          <w:rFonts w:cs="Arial"/>
          <w:sz w:val="24"/>
          <w:szCs w:val="24"/>
        </w:rPr>
        <w:lastRenderedPageBreak/>
        <w:t xml:space="preserve">The proposed ‘presumption against prosecution’ amounts to a statute of limitations and would be applicable </w:t>
      </w:r>
      <w:r w:rsidR="009625D9" w:rsidRPr="009625D9">
        <w:rPr>
          <w:rFonts w:cs="Arial"/>
          <w:sz w:val="24"/>
          <w:szCs w:val="24"/>
        </w:rPr>
        <w:t xml:space="preserve">to </w:t>
      </w:r>
      <w:r w:rsidR="00EA475F" w:rsidRPr="009625D9">
        <w:rPr>
          <w:rFonts w:cs="Arial"/>
          <w:sz w:val="24"/>
          <w:szCs w:val="24"/>
        </w:rPr>
        <w:t>torture and ill-treatment</w:t>
      </w:r>
      <w:r w:rsidR="00EA475F">
        <w:rPr>
          <w:rFonts w:cs="Arial"/>
          <w:sz w:val="24"/>
          <w:szCs w:val="24"/>
        </w:rPr>
        <w:t>,</w:t>
      </w:r>
      <w:r w:rsidR="00E512C9">
        <w:rPr>
          <w:rStyle w:val="FootnoteReference"/>
          <w:rFonts w:cs="Arial"/>
          <w:sz w:val="24"/>
          <w:szCs w:val="24"/>
        </w:rPr>
        <w:footnoteReference w:id="10"/>
      </w:r>
      <w:r w:rsidR="00EA475F">
        <w:rPr>
          <w:rFonts w:cs="Arial"/>
          <w:sz w:val="24"/>
          <w:szCs w:val="24"/>
        </w:rPr>
        <w:t xml:space="preserve"> and</w:t>
      </w:r>
      <w:r w:rsidR="00EA475F" w:rsidRPr="009625D9">
        <w:rPr>
          <w:rFonts w:cs="Arial"/>
          <w:sz w:val="24"/>
          <w:szCs w:val="24"/>
        </w:rPr>
        <w:t xml:space="preserve"> </w:t>
      </w:r>
      <w:r w:rsidR="00E512C9">
        <w:rPr>
          <w:rFonts w:cs="Arial"/>
          <w:sz w:val="24"/>
          <w:szCs w:val="24"/>
        </w:rPr>
        <w:t xml:space="preserve">in principle to </w:t>
      </w:r>
      <w:r w:rsidR="009625D9" w:rsidRPr="009625D9">
        <w:rPr>
          <w:rFonts w:cs="Arial"/>
          <w:sz w:val="24"/>
          <w:szCs w:val="24"/>
        </w:rPr>
        <w:t xml:space="preserve">international crimes including </w:t>
      </w:r>
      <w:r w:rsidR="005B08EC">
        <w:rPr>
          <w:rFonts w:cs="Arial"/>
          <w:sz w:val="24"/>
          <w:szCs w:val="24"/>
        </w:rPr>
        <w:t xml:space="preserve">genocide, </w:t>
      </w:r>
      <w:r w:rsidR="009625D9" w:rsidRPr="009625D9">
        <w:rPr>
          <w:rFonts w:cs="Arial"/>
          <w:sz w:val="24"/>
          <w:szCs w:val="24"/>
        </w:rPr>
        <w:t>war crimes and crimes against humanity</w:t>
      </w:r>
      <w:r w:rsidR="00EA475F">
        <w:rPr>
          <w:rFonts w:cs="Arial"/>
          <w:sz w:val="24"/>
          <w:szCs w:val="24"/>
        </w:rPr>
        <w:t xml:space="preserve"> </w:t>
      </w:r>
      <w:r>
        <w:rPr>
          <w:rFonts w:cs="Arial"/>
          <w:sz w:val="24"/>
          <w:szCs w:val="24"/>
        </w:rPr>
        <w:t>– something that is</w:t>
      </w:r>
      <w:r w:rsidR="00C72577">
        <w:rPr>
          <w:rFonts w:cs="Arial"/>
          <w:sz w:val="24"/>
          <w:szCs w:val="24"/>
        </w:rPr>
        <w:t xml:space="preserve"> widely seen as incompatible </w:t>
      </w:r>
      <w:r w:rsidR="009625D9" w:rsidRPr="009625D9">
        <w:rPr>
          <w:rFonts w:cs="Arial"/>
          <w:sz w:val="24"/>
          <w:szCs w:val="24"/>
        </w:rPr>
        <w:t>with the international human rights framework</w:t>
      </w:r>
      <w:r w:rsidR="00A76E0C">
        <w:rPr>
          <w:rStyle w:val="FootnoteReference"/>
          <w:rFonts w:cs="Arial"/>
          <w:sz w:val="24"/>
          <w:szCs w:val="24"/>
        </w:rPr>
        <w:footnoteReference w:id="11"/>
      </w:r>
      <w:r w:rsidR="009625D9" w:rsidRPr="009625D9">
        <w:rPr>
          <w:rFonts w:cs="Arial"/>
          <w:sz w:val="24"/>
          <w:szCs w:val="24"/>
        </w:rPr>
        <w:t xml:space="preserve"> </w:t>
      </w:r>
      <w:r w:rsidR="00C72577">
        <w:rPr>
          <w:rFonts w:cs="Arial"/>
          <w:sz w:val="24"/>
          <w:szCs w:val="24"/>
        </w:rPr>
        <w:t>and customary international law.</w:t>
      </w:r>
      <w:r w:rsidR="00A76E0C">
        <w:rPr>
          <w:rStyle w:val="FootnoteReference"/>
          <w:rFonts w:cs="Arial"/>
          <w:sz w:val="24"/>
          <w:szCs w:val="24"/>
        </w:rPr>
        <w:footnoteReference w:id="12"/>
      </w:r>
      <w:r w:rsidR="00A76E0C">
        <w:rPr>
          <w:rFonts w:cs="Arial"/>
          <w:sz w:val="24"/>
          <w:szCs w:val="24"/>
        </w:rPr>
        <w:t xml:space="preserve"> </w:t>
      </w:r>
      <w:r w:rsidR="005C10F7">
        <w:rPr>
          <w:rFonts w:cs="Arial"/>
          <w:sz w:val="24"/>
          <w:szCs w:val="24"/>
        </w:rPr>
        <w:t>International human rights law</w:t>
      </w:r>
      <w:r w:rsidR="007F7D08">
        <w:rPr>
          <w:rFonts w:cs="Arial"/>
          <w:sz w:val="24"/>
          <w:szCs w:val="24"/>
        </w:rPr>
        <w:t xml:space="preserve"> stipulate</w:t>
      </w:r>
      <w:r w:rsidR="005C10F7">
        <w:rPr>
          <w:rFonts w:cs="Arial"/>
          <w:sz w:val="24"/>
          <w:szCs w:val="24"/>
        </w:rPr>
        <w:t>s</w:t>
      </w:r>
      <w:r w:rsidR="007F7D08">
        <w:rPr>
          <w:rFonts w:cs="Arial"/>
          <w:sz w:val="24"/>
          <w:szCs w:val="24"/>
        </w:rPr>
        <w:t xml:space="preserve"> that complaints of maltreatment</w:t>
      </w:r>
      <w:r w:rsidR="007F7D08" w:rsidRPr="007F7D08">
        <w:rPr>
          <w:rFonts w:cs="Arial"/>
          <w:sz w:val="24"/>
          <w:szCs w:val="24"/>
        </w:rPr>
        <w:t xml:space="preserve"> must be investigated promptly and impartially by competent authorities </w:t>
      </w:r>
      <w:proofErr w:type="gramStart"/>
      <w:r w:rsidR="007F7D08" w:rsidRPr="007F7D08">
        <w:rPr>
          <w:rFonts w:cs="Arial"/>
          <w:sz w:val="24"/>
          <w:szCs w:val="24"/>
        </w:rPr>
        <w:t>so as to</w:t>
      </w:r>
      <w:proofErr w:type="gramEnd"/>
      <w:r w:rsidR="007F7D08" w:rsidRPr="007F7D08">
        <w:rPr>
          <w:rFonts w:cs="Arial"/>
          <w:sz w:val="24"/>
          <w:szCs w:val="24"/>
        </w:rPr>
        <w:t xml:space="preserve"> make the remedy effective</w:t>
      </w:r>
      <w:r w:rsidR="007F7D08">
        <w:rPr>
          <w:rFonts w:cs="Arial"/>
          <w:sz w:val="24"/>
          <w:szCs w:val="24"/>
        </w:rPr>
        <w:t>,</w:t>
      </w:r>
      <w:r w:rsidR="00721D2A">
        <w:rPr>
          <w:rStyle w:val="FootnoteReference"/>
          <w:rFonts w:cs="Arial"/>
          <w:sz w:val="24"/>
          <w:szCs w:val="24"/>
        </w:rPr>
        <w:footnoteReference w:id="13"/>
      </w:r>
      <w:r w:rsidR="007F7D08">
        <w:rPr>
          <w:rFonts w:cs="Arial"/>
          <w:sz w:val="24"/>
          <w:szCs w:val="24"/>
        </w:rPr>
        <w:t xml:space="preserve"> and </w:t>
      </w:r>
      <w:r w:rsidR="00555A60">
        <w:rPr>
          <w:rFonts w:cs="Arial"/>
          <w:sz w:val="24"/>
          <w:szCs w:val="24"/>
        </w:rPr>
        <w:t xml:space="preserve">that </w:t>
      </w:r>
      <w:r w:rsidR="00972A7D">
        <w:rPr>
          <w:rFonts w:cs="Arial"/>
          <w:sz w:val="24"/>
          <w:szCs w:val="24"/>
        </w:rPr>
        <w:t>s</w:t>
      </w:r>
      <w:r w:rsidR="00555A60">
        <w:rPr>
          <w:rFonts w:cs="Arial"/>
          <w:sz w:val="24"/>
          <w:szCs w:val="24"/>
        </w:rPr>
        <w:t>tates must</w:t>
      </w:r>
      <w:r w:rsidR="007F7D08" w:rsidRPr="007F7D08">
        <w:rPr>
          <w:rFonts w:cs="Arial"/>
          <w:sz w:val="24"/>
          <w:szCs w:val="24"/>
        </w:rPr>
        <w:t xml:space="preserve"> investigate alleged or suspected violations of the right to life in situations of armed conflict</w:t>
      </w:r>
      <w:r w:rsidR="007F7D08">
        <w:rPr>
          <w:rFonts w:cs="Arial"/>
          <w:sz w:val="24"/>
          <w:szCs w:val="24"/>
        </w:rPr>
        <w:t>.</w:t>
      </w:r>
      <w:r w:rsidR="007F7D08">
        <w:rPr>
          <w:rStyle w:val="FootnoteReference"/>
          <w:rFonts w:cs="Arial"/>
          <w:sz w:val="24"/>
          <w:szCs w:val="24"/>
        </w:rPr>
        <w:footnoteReference w:id="14"/>
      </w:r>
      <w:r w:rsidR="00555A60">
        <w:rPr>
          <w:rFonts w:cs="Arial"/>
          <w:sz w:val="24"/>
          <w:szCs w:val="24"/>
        </w:rPr>
        <w:t xml:space="preserve"> </w:t>
      </w:r>
      <w:r w:rsidR="00B16AE7" w:rsidRPr="00B16AE7">
        <w:rPr>
          <w:rFonts w:cs="Arial"/>
          <w:sz w:val="24"/>
          <w:szCs w:val="24"/>
        </w:rPr>
        <w:t>The UK’s international treaty obligations explicitly require that serious international crimes such as torture,</w:t>
      </w:r>
      <w:r w:rsidR="00D91987">
        <w:rPr>
          <w:rStyle w:val="FootnoteReference"/>
          <w:rFonts w:cs="Arial"/>
          <w:sz w:val="24"/>
          <w:szCs w:val="24"/>
        </w:rPr>
        <w:footnoteReference w:id="15"/>
      </w:r>
      <w:r w:rsidR="00B16AE7" w:rsidRPr="00B16AE7">
        <w:rPr>
          <w:rFonts w:cs="Arial"/>
          <w:sz w:val="24"/>
          <w:szCs w:val="24"/>
        </w:rPr>
        <w:t xml:space="preserve"> genocide,</w:t>
      </w:r>
      <w:r w:rsidR="00B16AE7" w:rsidRPr="00B16AE7">
        <w:rPr>
          <w:rFonts w:cs="Arial"/>
          <w:sz w:val="24"/>
          <w:szCs w:val="24"/>
          <w:vertAlign w:val="superscript"/>
        </w:rPr>
        <w:footnoteReference w:id="16"/>
      </w:r>
      <w:r w:rsidR="00B16AE7" w:rsidRPr="00B16AE7">
        <w:rPr>
          <w:rFonts w:cs="Arial"/>
          <w:sz w:val="24"/>
          <w:szCs w:val="24"/>
        </w:rPr>
        <w:t xml:space="preserve"> crimes against humanity,</w:t>
      </w:r>
      <w:r w:rsidR="00B16AE7" w:rsidRPr="00B16AE7">
        <w:rPr>
          <w:rFonts w:cs="Arial"/>
          <w:sz w:val="24"/>
          <w:szCs w:val="24"/>
          <w:vertAlign w:val="superscript"/>
        </w:rPr>
        <w:footnoteReference w:id="17"/>
      </w:r>
      <w:r w:rsidR="00B16AE7" w:rsidRPr="00B16AE7">
        <w:rPr>
          <w:rFonts w:cs="Arial"/>
          <w:sz w:val="24"/>
          <w:szCs w:val="24"/>
        </w:rPr>
        <w:t xml:space="preserve"> and grave breaches of the Geneva Conventions</w:t>
      </w:r>
      <w:r w:rsidR="00B16AE7" w:rsidRPr="00B16AE7">
        <w:rPr>
          <w:rFonts w:cs="Arial"/>
          <w:sz w:val="24"/>
          <w:szCs w:val="24"/>
          <w:vertAlign w:val="superscript"/>
        </w:rPr>
        <w:footnoteReference w:id="18"/>
      </w:r>
      <w:r w:rsidR="00B16AE7" w:rsidRPr="00B16AE7">
        <w:rPr>
          <w:rFonts w:cs="Arial"/>
          <w:sz w:val="24"/>
          <w:szCs w:val="24"/>
        </w:rPr>
        <w:t xml:space="preserve"> </w:t>
      </w:r>
      <w:proofErr w:type="gramStart"/>
      <w:r w:rsidR="00B16AE7" w:rsidRPr="00B16AE7">
        <w:rPr>
          <w:rFonts w:cs="Arial"/>
          <w:sz w:val="24"/>
          <w:szCs w:val="24"/>
        </w:rPr>
        <w:t>are</w:t>
      </w:r>
      <w:proofErr w:type="gramEnd"/>
      <w:r w:rsidR="00B16AE7" w:rsidRPr="00B16AE7">
        <w:rPr>
          <w:rFonts w:cs="Arial"/>
          <w:sz w:val="24"/>
          <w:szCs w:val="24"/>
        </w:rPr>
        <w:t xml:space="preserve"> prosecuted.</w:t>
      </w:r>
    </w:p>
    <w:p w14:paraId="2F2E47CA" w14:textId="77777777" w:rsidR="00FA0F2C" w:rsidRDefault="00FA0F2C" w:rsidP="00FA0F2C">
      <w:pPr>
        <w:pStyle w:val="ListParagraph"/>
        <w:spacing w:line="360" w:lineRule="auto"/>
        <w:ind w:left="0"/>
        <w:rPr>
          <w:rFonts w:cs="Arial"/>
          <w:sz w:val="24"/>
          <w:szCs w:val="24"/>
        </w:rPr>
      </w:pPr>
    </w:p>
    <w:p w14:paraId="4ABF6805" w14:textId="67D2B109" w:rsidR="00FA0F2C" w:rsidRPr="00715415" w:rsidRDefault="00075835" w:rsidP="00FA0F2C">
      <w:pPr>
        <w:pStyle w:val="ListParagraph"/>
        <w:spacing w:line="360" w:lineRule="auto"/>
        <w:ind w:left="0"/>
        <w:rPr>
          <w:rFonts w:cs="Arial"/>
          <w:sz w:val="24"/>
          <w:szCs w:val="24"/>
        </w:rPr>
      </w:pPr>
      <w:r>
        <w:rPr>
          <w:rFonts w:cs="Arial"/>
          <w:sz w:val="24"/>
          <w:szCs w:val="24"/>
        </w:rPr>
        <w:t xml:space="preserve">The Rome Statute of the International Criminal Court requires State </w:t>
      </w:r>
      <w:r w:rsidR="00EA475F">
        <w:rPr>
          <w:rFonts w:cs="Arial"/>
          <w:sz w:val="24"/>
          <w:szCs w:val="24"/>
        </w:rPr>
        <w:t>P</w:t>
      </w:r>
      <w:r>
        <w:rPr>
          <w:rFonts w:cs="Arial"/>
          <w:sz w:val="24"/>
          <w:szCs w:val="24"/>
        </w:rPr>
        <w:t>arties to exercise criminal jurisdiction over those responsible for international crimes.</w:t>
      </w:r>
      <w:r>
        <w:rPr>
          <w:rStyle w:val="FootnoteReference"/>
          <w:rFonts w:cs="Arial"/>
          <w:sz w:val="24"/>
          <w:szCs w:val="24"/>
        </w:rPr>
        <w:footnoteReference w:id="19"/>
      </w:r>
      <w:r w:rsidR="00E55E8E">
        <w:rPr>
          <w:rFonts w:cs="Arial"/>
          <w:sz w:val="24"/>
          <w:szCs w:val="24"/>
        </w:rPr>
        <w:t xml:space="preserve"> Where states are unwilling </w:t>
      </w:r>
      <w:r w:rsidR="00EA475F">
        <w:rPr>
          <w:rFonts w:cs="Arial"/>
          <w:sz w:val="24"/>
          <w:szCs w:val="24"/>
        </w:rPr>
        <w:t xml:space="preserve">or unable </w:t>
      </w:r>
      <w:r w:rsidR="00E55E8E">
        <w:rPr>
          <w:rFonts w:cs="Arial"/>
          <w:sz w:val="24"/>
          <w:szCs w:val="24"/>
        </w:rPr>
        <w:t xml:space="preserve">to investigate or prosecute such crimes, the </w:t>
      </w:r>
      <w:r w:rsidR="007456E7">
        <w:rPr>
          <w:rFonts w:cs="Arial"/>
          <w:sz w:val="24"/>
          <w:szCs w:val="24"/>
        </w:rPr>
        <w:t>ICC</w:t>
      </w:r>
      <w:r w:rsidR="00E55E8E">
        <w:rPr>
          <w:rFonts w:cs="Arial"/>
          <w:sz w:val="24"/>
          <w:szCs w:val="24"/>
        </w:rPr>
        <w:t xml:space="preserve"> may </w:t>
      </w:r>
      <w:r w:rsidR="005C10F7">
        <w:rPr>
          <w:rFonts w:cs="Arial"/>
          <w:sz w:val="24"/>
          <w:szCs w:val="24"/>
        </w:rPr>
        <w:t>do</w:t>
      </w:r>
      <w:r w:rsidR="00E55E8E">
        <w:rPr>
          <w:rFonts w:cs="Arial"/>
          <w:sz w:val="24"/>
          <w:szCs w:val="24"/>
        </w:rPr>
        <w:t xml:space="preserve"> so</w:t>
      </w:r>
      <w:r w:rsidR="005C10F7">
        <w:rPr>
          <w:rFonts w:cs="Arial"/>
          <w:sz w:val="24"/>
          <w:szCs w:val="24"/>
        </w:rPr>
        <w:t>.</w:t>
      </w:r>
      <w:r w:rsidR="00E55E8E">
        <w:rPr>
          <w:rStyle w:val="FootnoteReference"/>
          <w:rFonts w:cs="Arial"/>
          <w:sz w:val="24"/>
          <w:szCs w:val="24"/>
        </w:rPr>
        <w:footnoteReference w:id="20"/>
      </w:r>
      <w:r w:rsidR="00E55E8E">
        <w:rPr>
          <w:rFonts w:cs="Arial"/>
          <w:sz w:val="24"/>
          <w:szCs w:val="24"/>
        </w:rPr>
        <w:t xml:space="preserve"> </w:t>
      </w:r>
      <w:r w:rsidR="005C10F7">
        <w:rPr>
          <w:rFonts w:cs="Arial"/>
          <w:sz w:val="24"/>
          <w:szCs w:val="24"/>
        </w:rPr>
        <w:t xml:space="preserve">The incompatibility of the </w:t>
      </w:r>
      <w:r w:rsidR="00E55E8E">
        <w:rPr>
          <w:rFonts w:cs="Arial"/>
          <w:sz w:val="24"/>
          <w:szCs w:val="24"/>
        </w:rPr>
        <w:t xml:space="preserve">‘presumption against prosecution’ </w:t>
      </w:r>
      <w:r w:rsidR="005C10F7">
        <w:rPr>
          <w:rFonts w:cs="Arial"/>
          <w:sz w:val="24"/>
          <w:szCs w:val="24"/>
        </w:rPr>
        <w:t xml:space="preserve">with international law could lead to further investigation by the ICC into the conduct of UK </w:t>
      </w:r>
      <w:r w:rsidR="005C10F7">
        <w:rPr>
          <w:rFonts w:cs="Arial"/>
          <w:sz w:val="24"/>
          <w:szCs w:val="24"/>
        </w:rPr>
        <w:lastRenderedPageBreak/>
        <w:t xml:space="preserve">forces </w:t>
      </w:r>
      <w:r w:rsidR="005C10F7" w:rsidRPr="00715415">
        <w:rPr>
          <w:rFonts w:cs="Arial"/>
          <w:sz w:val="24"/>
          <w:szCs w:val="24"/>
        </w:rPr>
        <w:t>abroad.</w:t>
      </w:r>
      <w:r w:rsidR="005C10F7" w:rsidRPr="00715415">
        <w:rPr>
          <w:rStyle w:val="FootnoteReference"/>
          <w:rFonts w:cs="Arial"/>
          <w:sz w:val="24"/>
          <w:szCs w:val="24"/>
        </w:rPr>
        <w:footnoteReference w:id="21"/>
      </w:r>
      <w:r w:rsidR="00DF355D" w:rsidRPr="00715415">
        <w:rPr>
          <w:rFonts w:cs="Arial"/>
          <w:sz w:val="24"/>
          <w:szCs w:val="24"/>
        </w:rPr>
        <w:t xml:space="preserve"> </w:t>
      </w:r>
      <w:r w:rsidR="006A1E6E" w:rsidRPr="00715415">
        <w:rPr>
          <w:rFonts w:cs="Arial"/>
          <w:sz w:val="24"/>
          <w:szCs w:val="24"/>
        </w:rPr>
        <w:t xml:space="preserve">Indeed, </w:t>
      </w:r>
      <w:r w:rsidR="00FA0F2C" w:rsidRPr="00715415">
        <w:rPr>
          <w:rFonts w:cs="Arial"/>
          <w:sz w:val="24"/>
          <w:szCs w:val="24"/>
        </w:rPr>
        <w:t xml:space="preserve">in its final report on the Situation in Iraq/UK - published in December 2020 - the Office of the Prosecutor of the ICC </w:t>
      </w:r>
      <w:r w:rsidR="00151B9A" w:rsidRPr="00715415">
        <w:rPr>
          <w:rFonts w:cs="Arial"/>
          <w:sz w:val="24"/>
          <w:szCs w:val="24"/>
        </w:rPr>
        <w:t>commented</w:t>
      </w:r>
      <w:r w:rsidR="00F66641" w:rsidRPr="00715415">
        <w:rPr>
          <w:rFonts w:cs="Arial"/>
          <w:sz w:val="24"/>
          <w:szCs w:val="24"/>
        </w:rPr>
        <w:t xml:space="preserve">, </w:t>
      </w:r>
      <w:r w:rsidR="00151B9A" w:rsidRPr="00715415">
        <w:rPr>
          <w:rFonts w:cs="Arial"/>
          <w:sz w:val="24"/>
          <w:szCs w:val="24"/>
        </w:rPr>
        <w:t>in reference to the Overseas Operations Bill</w:t>
      </w:r>
      <w:r w:rsidR="00F66641" w:rsidRPr="00715415">
        <w:rPr>
          <w:rFonts w:cs="Arial"/>
          <w:sz w:val="24"/>
          <w:szCs w:val="24"/>
        </w:rPr>
        <w:t>,</w:t>
      </w:r>
      <w:r w:rsidR="00151B9A" w:rsidRPr="00715415">
        <w:rPr>
          <w:rFonts w:cs="Arial"/>
          <w:sz w:val="24"/>
          <w:szCs w:val="24"/>
        </w:rPr>
        <w:t xml:space="preserve"> that: </w:t>
      </w:r>
    </w:p>
    <w:p w14:paraId="18DE9E28" w14:textId="77777777" w:rsidR="007D71CC" w:rsidRPr="00715415" w:rsidRDefault="007D71CC" w:rsidP="00FA0F2C">
      <w:pPr>
        <w:pStyle w:val="ListParagraph"/>
        <w:spacing w:line="360" w:lineRule="auto"/>
        <w:ind w:left="0"/>
        <w:rPr>
          <w:rFonts w:cs="Arial"/>
          <w:sz w:val="24"/>
          <w:szCs w:val="24"/>
        </w:rPr>
      </w:pPr>
    </w:p>
    <w:p w14:paraId="7E2CEB15" w14:textId="22B15D73" w:rsidR="00FA0F2C" w:rsidRPr="00715415" w:rsidRDefault="00FA0F2C" w:rsidP="00F66641">
      <w:pPr>
        <w:pStyle w:val="ListParagraph"/>
        <w:spacing w:line="360" w:lineRule="auto"/>
        <w:rPr>
          <w:rFonts w:cs="Arial"/>
          <w:sz w:val="24"/>
          <w:szCs w:val="24"/>
        </w:rPr>
      </w:pPr>
      <w:r w:rsidRPr="00715415">
        <w:rPr>
          <w:rFonts w:cs="Arial"/>
          <w:sz w:val="24"/>
          <w:szCs w:val="24"/>
        </w:rPr>
        <w:t>‘[t]he effect of applying a statute of limitations to block further investigations and prosecution of crimes allegedly committed by British service members in Iraq would be to render such cases admissible before the ICC as a result of State inaction or alternatively State unwillingness or inability to proceed genuinely under articles 17(1)(a)-(c)’.</w:t>
      </w:r>
      <w:r w:rsidRPr="00715415">
        <w:rPr>
          <w:rStyle w:val="FootnoteReference"/>
          <w:rFonts w:cs="Arial"/>
          <w:sz w:val="24"/>
          <w:szCs w:val="24"/>
        </w:rPr>
        <w:footnoteReference w:id="22"/>
      </w:r>
    </w:p>
    <w:p w14:paraId="01C0A211" w14:textId="77777777" w:rsidR="00FA0F2C" w:rsidRPr="00715415" w:rsidRDefault="00FA0F2C" w:rsidP="00FA0F2C">
      <w:pPr>
        <w:pStyle w:val="ListParagraph"/>
        <w:spacing w:line="360" w:lineRule="auto"/>
        <w:ind w:left="360"/>
        <w:rPr>
          <w:rFonts w:cs="Arial"/>
          <w:i/>
          <w:sz w:val="24"/>
          <w:szCs w:val="24"/>
        </w:rPr>
      </w:pPr>
    </w:p>
    <w:p w14:paraId="28A2CA11" w14:textId="69B35B86" w:rsidR="00FA0F2C" w:rsidRPr="00FA0F2C" w:rsidRDefault="00FA0F2C" w:rsidP="00FA0F2C">
      <w:pPr>
        <w:pStyle w:val="ListParagraph"/>
        <w:spacing w:line="360" w:lineRule="auto"/>
        <w:ind w:left="0"/>
        <w:rPr>
          <w:rFonts w:cs="Arial"/>
          <w:sz w:val="24"/>
          <w:szCs w:val="24"/>
        </w:rPr>
      </w:pPr>
      <w:r w:rsidRPr="00715415">
        <w:rPr>
          <w:rFonts w:cs="Arial"/>
          <w:sz w:val="24"/>
          <w:szCs w:val="24"/>
        </w:rPr>
        <w:t xml:space="preserve">The report states the Office of the Prosecutor will continue to monitor the development of </w:t>
      </w:r>
      <w:r w:rsidR="00D93022" w:rsidRPr="00715415">
        <w:rPr>
          <w:rFonts w:cs="Arial"/>
          <w:sz w:val="24"/>
          <w:szCs w:val="24"/>
        </w:rPr>
        <w:t>the Overseas Operations Bill</w:t>
      </w:r>
      <w:r w:rsidRPr="00715415">
        <w:rPr>
          <w:rFonts w:cs="Arial"/>
          <w:sz w:val="24"/>
          <w:szCs w:val="24"/>
        </w:rPr>
        <w:t xml:space="preserve"> and its impact</w:t>
      </w:r>
      <w:r w:rsidR="00D93022" w:rsidRPr="00715415">
        <w:rPr>
          <w:rFonts w:cs="Arial"/>
          <w:sz w:val="24"/>
          <w:szCs w:val="24"/>
        </w:rPr>
        <w:t>,</w:t>
      </w:r>
      <w:r w:rsidRPr="00715415">
        <w:rPr>
          <w:rFonts w:cs="Arial"/>
          <w:sz w:val="24"/>
          <w:szCs w:val="24"/>
        </w:rPr>
        <w:t xml:space="preserve"> </w:t>
      </w:r>
      <w:r w:rsidR="00392D1A" w:rsidRPr="00715415">
        <w:rPr>
          <w:rFonts w:cs="Arial"/>
          <w:sz w:val="24"/>
          <w:szCs w:val="24"/>
        </w:rPr>
        <w:t>and may revisit its decision not to take action against the UK for war crimes committed in Iraq</w:t>
      </w:r>
      <w:r w:rsidRPr="00715415">
        <w:rPr>
          <w:rFonts w:cs="Arial"/>
          <w:sz w:val="24"/>
          <w:szCs w:val="24"/>
        </w:rPr>
        <w:t xml:space="preserve"> in the light of new facts or evidence.</w:t>
      </w:r>
      <w:r w:rsidRPr="00715415">
        <w:rPr>
          <w:rStyle w:val="FootnoteReference"/>
          <w:rFonts w:cs="Arial"/>
          <w:sz w:val="24"/>
          <w:szCs w:val="24"/>
        </w:rPr>
        <w:footnoteReference w:id="23"/>
      </w:r>
      <w:r w:rsidR="00213F83" w:rsidRPr="00715415">
        <w:rPr>
          <w:rFonts w:cs="Arial"/>
          <w:sz w:val="24"/>
          <w:szCs w:val="24"/>
        </w:rPr>
        <w:t xml:space="preserve"> The increased risk of investigation or prosecution by the ICC also applies in respect of other past and future overseas operations.</w:t>
      </w:r>
    </w:p>
    <w:p w14:paraId="5A1CF476" w14:textId="3FD77154" w:rsidR="007F7D08" w:rsidRDefault="007F7D08" w:rsidP="00D02962">
      <w:pPr>
        <w:pStyle w:val="ListParagraph"/>
        <w:spacing w:line="360" w:lineRule="auto"/>
        <w:ind w:left="0"/>
        <w:rPr>
          <w:rFonts w:cs="Arial"/>
          <w:sz w:val="24"/>
          <w:szCs w:val="24"/>
        </w:rPr>
      </w:pPr>
    </w:p>
    <w:p w14:paraId="47238752" w14:textId="52FB0E63" w:rsidR="0055171D" w:rsidRDefault="0055171D" w:rsidP="0055171D">
      <w:pPr>
        <w:pStyle w:val="ListParagraph"/>
        <w:numPr>
          <w:ilvl w:val="0"/>
          <w:numId w:val="33"/>
        </w:numPr>
        <w:spacing w:line="360" w:lineRule="auto"/>
        <w:rPr>
          <w:rFonts w:cs="Arial"/>
          <w:sz w:val="24"/>
          <w:szCs w:val="24"/>
        </w:rPr>
      </w:pPr>
      <w:r>
        <w:rPr>
          <w:rFonts w:cs="Arial"/>
          <w:sz w:val="24"/>
          <w:szCs w:val="24"/>
        </w:rPr>
        <w:t xml:space="preserve">Incompatibility with ECHR </w:t>
      </w:r>
    </w:p>
    <w:p w14:paraId="0A65F67A" w14:textId="77777777" w:rsidR="0055171D" w:rsidRDefault="0055171D" w:rsidP="00D02962">
      <w:pPr>
        <w:pStyle w:val="ListParagraph"/>
        <w:spacing w:line="360" w:lineRule="auto"/>
        <w:ind w:left="0"/>
        <w:rPr>
          <w:rFonts w:cs="Arial"/>
          <w:sz w:val="24"/>
          <w:szCs w:val="24"/>
        </w:rPr>
      </w:pPr>
    </w:p>
    <w:p w14:paraId="466E4D37" w14:textId="665452D8" w:rsidR="009625D9" w:rsidRDefault="00A76E0C" w:rsidP="00D02962">
      <w:pPr>
        <w:pStyle w:val="ListParagraph"/>
        <w:spacing w:line="360" w:lineRule="auto"/>
        <w:ind w:left="0"/>
        <w:rPr>
          <w:rFonts w:cs="Arial"/>
          <w:sz w:val="24"/>
          <w:szCs w:val="24"/>
        </w:rPr>
      </w:pPr>
      <w:r>
        <w:rPr>
          <w:rFonts w:cs="Arial"/>
          <w:sz w:val="24"/>
          <w:szCs w:val="24"/>
        </w:rPr>
        <w:t xml:space="preserve">The specification in Clause 2 that prosecutions brought after a five-year period would be ‘exceptional’ also risks contravening the UK’s procedural obligations under Articles 2 and 3 </w:t>
      </w:r>
      <w:r w:rsidR="0055171D">
        <w:rPr>
          <w:rFonts w:cs="Arial"/>
          <w:sz w:val="24"/>
          <w:szCs w:val="24"/>
        </w:rPr>
        <w:t>ECHR</w:t>
      </w:r>
      <w:r>
        <w:rPr>
          <w:rFonts w:cs="Arial"/>
          <w:sz w:val="24"/>
          <w:szCs w:val="24"/>
        </w:rPr>
        <w:t xml:space="preserve"> to investigate the lawfulness of actions invo</w:t>
      </w:r>
      <w:r w:rsidR="00C4740A">
        <w:rPr>
          <w:rFonts w:cs="Arial"/>
          <w:sz w:val="24"/>
          <w:szCs w:val="24"/>
        </w:rPr>
        <w:t>lving the use of lethal force or</w:t>
      </w:r>
      <w:r>
        <w:rPr>
          <w:rFonts w:cs="Arial"/>
          <w:sz w:val="24"/>
          <w:szCs w:val="24"/>
        </w:rPr>
        <w:t xml:space="preserve"> alleged torture or il</w:t>
      </w:r>
      <w:r w:rsidR="003B6EDF">
        <w:rPr>
          <w:rFonts w:cs="Arial"/>
          <w:sz w:val="24"/>
          <w:szCs w:val="24"/>
        </w:rPr>
        <w:t>l-treatment</w:t>
      </w:r>
      <w:r>
        <w:rPr>
          <w:rFonts w:cs="Arial"/>
          <w:sz w:val="24"/>
          <w:szCs w:val="24"/>
        </w:rPr>
        <w:t xml:space="preserve"> by service personnel in overseas operations.</w:t>
      </w:r>
      <w:r>
        <w:rPr>
          <w:rStyle w:val="FootnoteReference"/>
          <w:rFonts w:cs="Arial"/>
          <w:sz w:val="24"/>
          <w:szCs w:val="24"/>
        </w:rPr>
        <w:footnoteReference w:id="24"/>
      </w:r>
      <w:r w:rsidR="0069712D">
        <w:rPr>
          <w:rFonts w:cs="Arial"/>
          <w:sz w:val="24"/>
          <w:szCs w:val="24"/>
        </w:rPr>
        <w:t xml:space="preserve"> </w:t>
      </w:r>
      <w:r w:rsidR="00324605">
        <w:rPr>
          <w:rFonts w:cs="Arial"/>
          <w:sz w:val="24"/>
          <w:szCs w:val="24"/>
        </w:rPr>
        <w:t xml:space="preserve">This is because the ‘exceptionality’ element of the Bill could </w:t>
      </w:r>
      <w:r w:rsidR="00324605" w:rsidRPr="00B25229">
        <w:rPr>
          <w:rFonts w:cs="Arial"/>
          <w:sz w:val="24"/>
          <w:szCs w:val="24"/>
        </w:rPr>
        <w:t xml:space="preserve">act as a </w:t>
      </w:r>
      <w:r w:rsidR="00324605" w:rsidRPr="00B25229">
        <w:rPr>
          <w:rFonts w:cs="Arial"/>
          <w:sz w:val="24"/>
          <w:szCs w:val="24"/>
        </w:rPr>
        <w:lastRenderedPageBreak/>
        <w:t>deterrent</w:t>
      </w:r>
      <w:r w:rsidR="00324605">
        <w:rPr>
          <w:rFonts w:cs="Arial"/>
          <w:sz w:val="24"/>
          <w:szCs w:val="24"/>
        </w:rPr>
        <w:t xml:space="preserve"> against prompt investigations into crimes committed in the course of overseas operations,</w:t>
      </w:r>
      <w:r w:rsidR="00324605">
        <w:rPr>
          <w:rStyle w:val="FootnoteReference"/>
          <w:rFonts w:cs="Arial"/>
          <w:sz w:val="24"/>
          <w:szCs w:val="24"/>
        </w:rPr>
        <w:footnoteReference w:id="25"/>
      </w:r>
      <w:r w:rsidR="00324605">
        <w:rPr>
          <w:rFonts w:cs="Arial"/>
          <w:sz w:val="24"/>
          <w:szCs w:val="24"/>
        </w:rPr>
        <w:t xml:space="preserve"> and risk prejudicing the outcome of any such investigation.</w:t>
      </w:r>
      <w:r w:rsidR="00324605">
        <w:rPr>
          <w:rStyle w:val="FootnoteReference"/>
          <w:rFonts w:cs="Arial"/>
          <w:sz w:val="24"/>
          <w:szCs w:val="24"/>
        </w:rPr>
        <w:footnoteReference w:id="26"/>
      </w:r>
    </w:p>
    <w:p w14:paraId="107C4640" w14:textId="56373714" w:rsidR="00C6383D" w:rsidRDefault="00C6383D" w:rsidP="00D02962">
      <w:pPr>
        <w:pStyle w:val="ListParagraph"/>
        <w:spacing w:line="360" w:lineRule="auto"/>
        <w:ind w:left="0"/>
        <w:rPr>
          <w:rFonts w:cs="Arial"/>
          <w:sz w:val="24"/>
          <w:szCs w:val="24"/>
        </w:rPr>
      </w:pPr>
    </w:p>
    <w:p w14:paraId="1F48D4A2" w14:textId="390184FE" w:rsidR="00C6383D" w:rsidRDefault="00B16AE7" w:rsidP="00D02962">
      <w:pPr>
        <w:pStyle w:val="ListParagraph"/>
        <w:spacing w:line="360" w:lineRule="auto"/>
        <w:ind w:left="0"/>
        <w:rPr>
          <w:rFonts w:cs="Arial"/>
          <w:sz w:val="24"/>
          <w:szCs w:val="24"/>
        </w:rPr>
      </w:pPr>
      <w:r>
        <w:rPr>
          <w:rFonts w:cs="Arial"/>
          <w:sz w:val="24"/>
          <w:szCs w:val="24"/>
        </w:rPr>
        <w:t xml:space="preserve">We </w:t>
      </w:r>
      <w:proofErr w:type="gramStart"/>
      <w:r>
        <w:rPr>
          <w:rFonts w:cs="Arial"/>
          <w:sz w:val="24"/>
          <w:szCs w:val="24"/>
        </w:rPr>
        <w:t>are troubled</w:t>
      </w:r>
      <w:proofErr w:type="gramEnd"/>
      <w:r>
        <w:rPr>
          <w:rFonts w:cs="Arial"/>
          <w:sz w:val="24"/>
          <w:szCs w:val="24"/>
        </w:rPr>
        <w:t xml:space="preserve"> by the stipulation</w:t>
      </w:r>
      <w:r w:rsidR="004A4972">
        <w:rPr>
          <w:rFonts w:cs="Arial"/>
          <w:sz w:val="24"/>
          <w:szCs w:val="24"/>
        </w:rPr>
        <w:t xml:space="preserve"> that </w:t>
      </w:r>
      <w:r w:rsidR="00A80532">
        <w:rPr>
          <w:rFonts w:cs="Arial"/>
          <w:sz w:val="24"/>
          <w:szCs w:val="24"/>
        </w:rPr>
        <w:t>a prosecutor</w:t>
      </w:r>
      <w:r w:rsidR="00C6383D" w:rsidRPr="00C6383D">
        <w:rPr>
          <w:rFonts w:cs="Arial"/>
          <w:sz w:val="24"/>
          <w:szCs w:val="24"/>
        </w:rPr>
        <w:t xml:space="preserve"> </w:t>
      </w:r>
      <w:r w:rsidR="004A4972">
        <w:rPr>
          <w:rFonts w:cs="Arial"/>
          <w:sz w:val="24"/>
          <w:szCs w:val="24"/>
        </w:rPr>
        <w:t xml:space="preserve">must </w:t>
      </w:r>
      <w:r w:rsidR="00A80532">
        <w:rPr>
          <w:rFonts w:cs="Arial"/>
          <w:sz w:val="24"/>
          <w:szCs w:val="24"/>
        </w:rPr>
        <w:t>consider</w:t>
      </w:r>
      <w:r w:rsidR="00C6383D" w:rsidRPr="00C6383D">
        <w:rPr>
          <w:rFonts w:cs="Arial"/>
          <w:sz w:val="24"/>
          <w:szCs w:val="24"/>
        </w:rPr>
        <w:t xml:space="preserve"> whether </w:t>
      </w:r>
      <w:r w:rsidR="00C6383D">
        <w:rPr>
          <w:rFonts w:cs="Arial"/>
          <w:sz w:val="24"/>
          <w:szCs w:val="24"/>
        </w:rPr>
        <w:t>any ‘compelling</w:t>
      </w:r>
      <w:r w:rsidR="00A80532">
        <w:rPr>
          <w:rFonts w:cs="Arial"/>
          <w:sz w:val="24"/>
          <w:szCs w:val="24"/>
        </w:rPr>
        <w:t xml:space="preserve"> new</w:t>
      </w:r>
      <w:r w:rsidR="00C6383D">
        <w:rPr>
          <w:rFonts w:cs="Arial"/>
          <w:sz w:val="24"/>
          <w:szCs w:val="24"/>
        </w:rPr>
        <w:t xml:space="preserve"> evidence’</w:t>
      </w:r>
      <w:r w:rsidR="00A80532">
        <w:rPr>
          <w:rFonts w:cs="Arial"/>
          <w:sz w:val="24"/>
          <w:szCs w:val="24"/>
        </w:rPr>
        <w:t xml:space="preserve"> has become available when deciding whether to proceed with a prosecution</w:t>
      </w:r>
      <w:r w:rsidR="004A4972">
        <w:rPr>
          <w:rFonts w:cs="Arial"/>
          <w:sz w:val="24"/>
          <w:szCs w:val="24"/>
        </w:rPr>
        <w:t>,</w:t>
      </w:r>
      <w:r w:rsidR="00A80532">
        <w:rPr>
          <w:rFonts w:cs="Arial"/>
          <w:sz w:val="24"/>
          <w:szCs w:val="24"/>
        </w:rPr>
        <w:t xml:space="preserve"> and if not</w:t>
      </w:r>
      <w:r w:rsidR="004A4972">
        <w:rPr>
          <w:rFonts w:cs="Arial"/>
          <w:sz w:val="24"/>
          <w:szCs w:val="24"/>
        </w:rPr>
        <w:t xml:space="preserve"> the prosecutor must</w:t>
      </w:r>
      <w:r w:rsidR="00A80532">
        <w:rPr>
          <w:rFonts w:cs="Arial"/>
          <w:sz w:val="24"/>
          <w:szCs w:val="24"/>
        </w:rPr>
        <w:t xml:space="preserve"> give ‘particular weight’ to the public interest in finality</w:t>
      </w:r>
      <w:r w:rsidR="00C6383D">
        <w:rPr>
          <w:rFonts w:cs="Arial"/>
          <w:sz w:val="24"/>
          <w:szCs w:val="24"/>
        </w:rPr>
        <w:t>.</w:t>
      </w:r>
      <w:r w:rsidR="00C6383D">
        <w:rPr>
          <w:rStyle w:val="FootnoteReference"/>
          <w:rFonts w:cs="Arial"/>
          <w:sz w:val="24"/>
          <w:szCs w:val="24"/>
        </w:rPr>
        <w:footnoteReference w:id="27"/>
      </w:r>
      <w:r w:rsidR="00C6383D">
        <w:rPr>
          <w:rFonts w:cs="Arial"/>
          <w:sz w:val="24"/>
          <w:szCs w:val="24"/>
        </w:rPr>
        <w:t xml:space="preserve"> </w:t>
      </w:r>
      <w:r w:rsidR="004A4972">
        <w:rPr>
          <w:rFonts w:cs="Arial"/>
          <w:sz w:val="24"/>
          <w:szCs w:val="24"/>
        </w:rPr>
        <w:t>This is because p</w:t>
      </w:r>
      <w:r w:rsidR="007F7D08">
        <w:rPr>
          <w:rFonts w:cs="Arial"/>
          <w:sz w:val="24"/>
          <w:szCs w:val="24"/>
        </w:rPr>
        <w:t>reviously considered evidence</w:t>
      </w:r>
      <w:r w:rsidR="00C4740A">
        <w:rPr>
          <w:rFonts w:cs="Arial"/>
          <w:sz w:val="24"/>
          <w:szCs w:val="24"/>
        </w:rPr>
        <w:t xml:space="preserve"> </w:t>
      </w:r>
      <w:proofErr w:type="gramStart"/>
      <w:r w:rsidR="00C4740A">
        <w:rPr>
          <w:rFonts w:cs="Arial"/>
          <w:sz w:val="24"/>
          <w:szCs w:val="24"/>
        </w:rPr>
        <w:t>can be thrown</w:t>
      </w:r>
      <w:proofErr w:type="gramEnd"/>
      <w:r w:rsidR="00C4740A">
        <w:rPr>
          <w:rFonts w:cs="Arial"/>
          <w:sz w:val="24"/>
          <w:szCs w:val="24"/>
        </w:rPr>
        <w:t xml:space="preserve"> into</w:t>
      </w:r>
      <w:r w:rsidR="00A80532">
        <w:rPr>
          <w:rFonts w:cs="Arial"/>
          <w:sz w:val="24"/>
          <w:szCs w:val="24"/>
        </w:rPr>
        <w:t xml:space="preserve"> new light by </w:t>
      </w:r>
      <w:r w:rsidR="007F7D08">
        <w:rPr>
          <w:rFonts w:cs="Arial"/>
          <w:sz w:val="24"/>
          <w:szCs w:val="24"/>
        </w:rPr>
        <w:t>later</w:t>
      </w:r>
      <w:r w:rsidR="00A80532">
        <w:rPr>
          <w:rFonts w:cs="Arial"/>
          <w:sz w:val="24"/>
          <w:szCs w:val="24"/>
        </w:rPr>
        <w:t xml:space="preserve"> developments, and we are concerned that Clause 3 could restrict the effectiveness of subsequent investigations. This Clause appears to contradict </w:t>
      </w:r>
      <w:proofErr w:type="spellStart"/>
      <w:r w:rsidR="007456E7">
        <w:rPr>
          <w:rFonts w:cs="Arial"/>
          <w:sz w:val="24"/>
          <w:szCs w:val="24"/>
        </w:rPr>
        <w:t>ECtHR</w:t>
      </w:r>
      <w:proofErr w:type="spellEnd"/>
      <w:r w:rsidR="00A80532">
        <w:rPr>
          <w:rFonts w:cs="Arial"/>
          <w:sz w:val="24"/>
          <w:szCs w:val="24"/>
        </w:rPr>
        <w:t xml:space="preserve"> </w:t>
      </w:r>
      <w:proofErr w:type="gramStart"/>
      <w:r w:rsidR="00A80532">
        <w:rPr>
          <w:rFonts w:cs="Arial"/>
          <w:sz w:val="24"/>
          <w:szCs w:val="24"/>
        </w:rPr>
        <w:t>case-law</w:t>
      </w:r>
      <w:proofErr w:type="gramEnd"/>
      <w:r w:rsidR="007F7D08">
        <w:rPr>
          <w:rFonts w:cs="Arial"/>
          <w:sz w:val="24"/>
          <w:szCs w:val="24"/>
        </w:rPr>
        <w:t>, which</w:t>
      </w:r>
      <w:r w:rsidR="00A80532">
        <w:rPr>
          <w:rFonts w:cs="Arial"/>
          <w:sz w:val="24"/>
          <w:szCs w:val="24"/>
        </w:rPr>
        <w:t xml:space="preserve"> specifies that even after a significant lapse of time the obligation on the </w:t>
      </w:r>
      <w:r w:rsidR="00E85E65">
        <w:rPr>
          <w:rFonts w:cs="Arial"/>
          <w:sz w:val="24"/>
          <w:szCs w:val="24"/>
        </w:rPr>
        <w:t>S</w:t>
      </w:r>
      <w:r w:rsidR="00A80532">
        <w:rPr>
          <w:rFonts w:cs="Arial"/>
          <w:sz w:val="24"/>
          <w:szCs w:val="24"/>
        </w:rPr>
        <w:t>tate to carry out an Article 2 compliant investigation remains.</w:t>
      </w:r>
      <w:r w:rsidR="00956300">
        <w:rPr>
          <w:rStyle w:val="FootnoteReference"/>
          <w:rFonts w:cs="Arial"/>
          <w:sz w:val="24"/>
          <w:szCs w:val="24"/>
        </w:rPr>
        <w:footnoteReference w:id="28"/>
      </w:r>
      <w:r w:rsidR="005B08EC" w:rsidRPr="005B08EC">
        <w:rPr>
          <w:rFonts w:cs="Arial"/>
          <w:sz w:val="24"/>
          <w:szCs w:val="24"/>
        </w:rPr>
        <w:t xml:space="preserve"> </w:t>
      </w:r>
      <w:r w:rsidR="005B08EC">
        <w:rPr>
          <w:rFonts w:cs="Arial"/>
          <w:sz w:val="24"/>
          <w:szCs w:val="24"/>
        </w:rPr>
        <w:t xml:space="preserve">It is also worth noting that the public interest in finality </w:t>
      </w:r>
      <w:proofErr w:type="gramStart"/>
      <w:r w:rsidR="005B08EC">
        <w:rPr>
          <w:rFonts w:cs="Arial"/>
          <w:sz w:val="24"/>
          <w:szCs w:val="24"/>
        </w:rPr>
        <w:t>is only properly met</w:t>
      </w:r>
      <w:proofErr w:type="gramEnd"/>
      <w:r w:rsidR="005B08EC">
        <w:rPr>
          <w:rFonts w:cs="Arial"/>
          <w:sz w:val="24"/>
          <w:szCs w:val="24"/>
        </w:rPr>
        <w:t xml:space="preserve"> when justice is fully served through proper examination of all the facts, and not when the potential for prosecution is arbitrarily curtailed.</w:t>
      </w:r>
    </w:p>
    <w:p w14:paraId="708D9957" w14:textId="004094EF" w:rsidR="008C57F8" w:rsidRDefault="008C57F8" w:rsidP="00D02962">
      <w:pPr>
        <w:pStyle w:val="ListParagraph"/>
        <w:spacing w:line="360" w:lineRule="auto"/>
        <w:ind w:left="0"/>
        <w:rPr>
          <w:rFonts w:cs="Arial"/>
          <w:sz w:val="24"/>
          <w:szCs w:val="24"/>
        </w:rPr>
      </w:pPr>
    </w:p>
    <w:p w14:paraId="18010505" w14:textId="764A6137" w:rsidR="008C57F8" w:rsidRPr="00805F04" w:rsidRDefault="008C57F8" w:rsidP="008C57F8">
      <w:pPr>
        <w:pStyle w:val="ListParagraph"/>
        <w:numPr>
          <w:ilvl w:val="0"/>
          <w:numId w:val="33"/>
        </w:numPr>
        <w:rPr>
          <w:rFonts w:cs="Arial"/>
          <w:sz w:val="24"/>
          <w:szCs w:val="24"/>
        </w:rPr>
      </w:pPr>
      <w:r w:rsidRPr="00805F04">
        <w:rPr>
          <w:rFonts w:cs="Arial"/>
          <w:sz w:val="24"/>
          <w:szCs w:val="24"/>
        </w:rPr>
        <w:t>Government justification for including serious international crimes within scope of the Bill, while excluding offences of a sexual nature.</w:t>
      </w:r>
    </w:p>
    <w:p w14:paraId="489E32DF" w14:textId="68E98E2F" w:rsidR="008C57F8" w:rsidRPr="00805F04" w:rsidRDefault="008C57F8" w:rsidP="00E32F97">
      <w:pPr>
        <w:pStyle w:val="ListParagraph"/>
        <w:spacing w:line="360" w:lineRule="auto"/>
        <w:rPr>
          <w:rFonts w:cs="Arial"/>
          <w:sz w:val="24"/>
          <w:szCs w:val="24"/>
        </w:rPr>
      </w:pPr>
    </w:p>
    <w:p w14:paraId="630082B4" w14:textId="7A933D9B" w:rsidR="008C57F8" w:rsidRPr="00805F04" w:rsidRDefault="001A3E37" w:rsidP="008C57F8">
      <w:pPr>
        <w:pStyle w:val="ListParagraph"/>
        <w:spacing w:line="360" w:lineRule="auto"/>
        <w:ind w:left="0"/>
        <w:rPr>
          <w:rFonts w:cs="Arial"/>
          <w:sz w:val="24"/>
          <w:szCs w:val="24"/>
        </w:rPr>
      </w:pPr>
      <w:r w:rsidRPr="00805F04">
        <w:rPr>
          <w:rFonts w:cs="Arial"/>
          <w:sz w:val="24"/>
          <w:szCs w:val="24"/>
        </w:rPr>
        <w:t xml:space="preserve">The Government has excluded a number </w:t>
      </w:r>
      <w:r w:rsidR="00F4551B" w:rsidRPr="00805F04">
        <w:rPr>
          <w:rFonts w:cs="Arial"/>
          <w:sz w:val="24"/>
          <w:szCs w:val="24"/>
        </w:rPr>
        <w:t xml:space="preserve">of sexual offences, </w:t>
      </w:r>
      <w:r w:rsidRPr="00805F04">
        <w:rPr>
          <w:rFonts w:cs="Arial"/>
          <w:sz w:val="24"/>
          <w:szCs w:val="24"/>
        </w:rPr>
        <w:t>listed</w:t>
      </w:r>
      <w:r w:rsidR="00F4551B" w:rsidRPr="00805F04">
        <w:rPr>
          <w:rFonts w:cs="Arial"/>
          <w:sz w:val="24"/>
          <w:szCs w:val="24"/>
        </w:rPr>
        <w:t xml:space="preserve"> in </w:t>
      </w:r>
      <w:r w:rsidR="008C57F8" w:rsidRPr="00805F04">
        <w:rPr>
          <w:rFonts w:cs="Arial"/>
          <w:sz w:val="24"/>
          <w:szCs w:val="24"/>
        </w:rPr>
        <w:t xml:space="preserve">Schedule </w:t>
      </w:r>
      <w:r w:rsidR="00F4551B" w:rsidRPr="00805F04">
        <w:rPr>
          <w:rFonts w:cs="Arial"/>
          <w:sz w:val="24"/>
          <w:szCs w:val="24"/>
        </w:rPr>
        <w:t>1,</w:t>
      </w:r>
      <w:r w:rsidR="00895887" w:rsidRPr="00805F04">
        <w:rPr>
          <w:rFonts w:cs="Arial"/>
          <w:sz w:val="24"/>
          <w:szCs w:val="24"/>
        </w:rPr>
        <w:t xml:space="preserve"> </w:t>
      </w:r>
      <w:r w:rsidR="003B48EE" w:rsidRPr="00805F04">
        <w:rPr>
          <w:rFonts w:cs="Arial"/>
          <w:sz w:val="24"/>
          <w:szCs w:val="24"/>
        </w:rPr>
        <w:t>from the scope of the Bill.</w:t>
      </w:r>
      <w:r w:rsidR="00787D04" w:rsidRPr="00805F04">
        <w:rPr>
          <w:rStyle w:val="FootnoteReference"/>
          <w:rFonts w:cs="Arial"/>
          <w:sz w:val="24"/>
          <w:szCs w:val="24"/>
        </w:rPr>
        <w:footnoteReference w:id="29"/>
      </w:r>
      <w:r w:rsidR="003B48EE" w:rsidRPr="00805F04">
        <w:rPr>
          <w:rFonts w:cs="Arial"/>
          <w:sz w:val="24"/>
          <w:szCs w:val="24"/>
        </w:rPr>
        <w:t xml:space="preserve"> </w:t>
      </w:r>
      <w:r w:rsidR="00F4551B" w:rsidRPr="00805F04">
        <w:rPr>
          <w:rFonts w:cs="Arial"/>
          <w:sz w:val="24"/>
          <w:szCs w:val="24"/>
        </w:rPr>
        <w:t>As such, the</w:t>
      </w:r>
      <w:r w:rsidR="003B48EE" w:rsidRPr="00805F04">
        <w:rPr>
          <w:rFonts w:cs="Arial"/>
          <w:sz w:val="24"/>
          <w:szCs w:val="24"/>
        </w:rPr>
        <w:t xml:space="preserve"> ‘presumption against prosecution’, the requirement that ‘particular weight’ be given to matters that tend to reduce the </w:t>
      </w:r>
      <w:r w:rsidR="003B48EE" w:rsidRPr="00805F04">
        <w:rPr>
          <w:rFonts w:cs="Arial"/>
          <w:sz w:val="24"/>
          <w:szCs w:val="24"/>
        </w:rPr>
        <w:lastRenderedPageBreak/>
        <w:t>accused’s cul</w:t>
      </w:r>
      <w:r w:rsidR="00F4551B" w:rsidRPr="00805F04">
        <w:rPr>
          <w:rFonts w:cs="Arial"/>
          <w:sz w:val="24"/>
          <w:szCs w:val="24"/>
        </w:rPr>
        <w:t>pability, and the requirement for</w:t>
      </w:r>
      <w:r w:rsidR="003B48EE" w:rsidRPr="00805F04">
        <w:rPr>
          <w:rFonts w:cs="Arial"/>
          <w:sz w:val="24"/>
          <w:szCs w:val="24"/>
        </w:rPr>
        <w:t xml:space="preserve"> consent from the Attorney General in order to prosecute do not apply</w:t>
      </w:r>
      <w:r w:rsidR="00F4551B" w:rsidRPr="00805F04">
        <w:rPr>
          <w:rFonts w:cs="Arial"/>
          <w:sz w:val="24"/>
          <w:szCs w:val="24"/>
        </w:rPr>
        <w:t xml:space="preserve"> to these offences</w:t>
      </w:r>
      <w:r w:rsidR="003B48EE" w:rsidRPr="00805F04">
        <w:rPr>
          <w:rFonts w:cs="Arial"/>
          <w:sz w:val="24"/>
          <w:szCs w:val="24"/>
        </w:rPr>
        <w:t xml:space="preserve">. </w:t>
      </w:r>
    </w:p>
    <w:p w14:paraId="2254606F" w14:textId="77777777" w:rsidR="00895887" w:rsidRPr="00805F04" w:rsidRDefault="00895887" w:rsidP="008C57F8">
      <w:pPr>
        <w:pStyle w:val="ListParagraph"/>
        <w:spacing w:line="360" w:lineRule="auto"/>
        <w:ind w:left="0"/>
        <w:rPr>
          <w:rFonts w:cs="Arial"/>
          <w:sz w:val="24"/>
          <w:szCs w:val="24"/>
        </w:rPr>
      </w:pPr>
    </w:p>
    <w:p w14:paraId="3B79B234" w14:textId="72B7CF62" w:rsidR="00787D04" w:rsidRPr="00805F04" w:rsidRDefault="00895887" w:rsidP="008C57F8">
      <w:pPr>
        <w:pStyle w:val="ListParagraph"/>
        <w:spacing w:line="360" w:lineRule="auto"/>
        <w:ind w:left="0"/>
        <w:rPr>
          <w:rFonts w:cs="Arial"/>
          <w:sz w:val="24"/>
          <w:szCs w:val="24"/>
        </w:rPr>
      </w:pPr>
      <w:r w:rsidRPr="00805F04">
        <w:rPr>
          <w:rFonts w:cs="Arial"/>
          <w:sz w:val="24"/>
          <w:szCs w:val="24"/>
        </w:rPr>
        <w:t>During the Bill’s passage through the</w:t>
      </w:r>
      <w:r w:rsidR="00CA68A0" w:rsidRPr="00805F04">
        <w:rPr>
          <w:rFonts w:cs="Arial"/>
          <w:sz w:val="24"/>
          <w:szCs w:val="24"/>
        </w:rPr>
        <w:t xml:space="preserve"> House of</w:t>
      </w:r>
      <w:r w:rsidRPr="00805F04">
        <w:rPr>
          <w:rFonts w:cs="Arial"/>
          <w:sz w:val="24"/>
          <w:szCs w:val="24"/>
        </w:rPr>
        <w:t xml:space="preserve"> Commons </w:t>
      </w:r>
      <w:r w:rsidR="00A1186D" w:rsidRPr="00805F04">
        <w:rPr>
          <w:rFonts w:cs="Arial"/>
          <w:sz w:val="24"/>
          <w:szCs w:val="24"/>
        </w:rPr>
        <w:t xml:space="preserve">the Government </w:t>
      </w:r>
      <w:proofErr w:type="gramStart"/>
      <w:r w:rsidR="00A1186D" w:rsidRPr="00805F04">
        <w:rPr>
          <w:rFonts w:cs="Arial"/>
          <w:sz w:val="24"/>
          <w:szCs w:val="24"/>
        </w:rPr>
        <w:t>was</w:t>
      </w:r>
      <w:r w:rsidRPr="00805F04">
        <w:rPr>
          <w:rFonts w:cs="Arial"/>
          <w:sz w:val="24"/>
          <w:szCs w:val="24"/>
        </w:rPr>
        <w:t xml:space="preserve"> asked</w:t>
      </w:r>
      <w:proofErr w:type="gramEnd"/>
      <w:r w:rsidRPr="00805F04">
        <w:rPr>
          <w:rFonts w:cs="Arial"/>
          <w:sz w:val="24"/>
          <w:szCs w:val="24"/>
        </w:rPr>
        <w:t xml:space="preserve"> on several occasions to explain why serious international crimes - such as torture and genocide – remain within scope of the Bill, while offences of a sexual nature are excluded.</w:t>
      </w:r>
      <w:r w:rsidRPr="00805F04">
        <w:rPr>
          <w:rStyle w:val="FootnoteReference"/>
          <w:rFonts w:cs="Arial"/>
          <w:sz w:val="24"/>
          <w:szCs w:val="24"/>
        </w:rPr>
        <w:footnoteReference w:id="30"/>
      </w:r>
      <w:r w:rsidR="00F4551B" w:rsidRPr="00805F04">
        <w:rPr>
          <w:rFonts w:cs="Arial"/>
          <w:sz w:val="24"/>
          <w:szCs w:val="24"/>
        </w:rPr>
        <w:t xml:space="preserve"> </w:t>
      </w:r>
      <w:r w:rsidR="0088503D" w:rsidRPr="00805F04">
        <w:rPr>
          <w:rFonts w:cs="Arial"/>
          <w:sz w:val="24"/>
          <w:szCs w:val="24"/>
        </w:rPr>
        <w:t xml:space="preserve">In response, </w:t>
      </w:r>
      <w:r w:rsidR="00F4551B" w:rsidRPr="00805F04">
        <w:rPr>
          <w:rFonts w:cs="Arial"/>
          <w:sz w:val="24"/>
          <w:szCs w:val="24"/>
        </w:rPr>
        <w:t>Secretary of State for Defence</w:t>
      </w:r>
      <w:r w:rsidR="00BC30F7" w:rsidRPr="00805F04">
        <w:rPr>
          <w:rFonts w:cs="Arial"/>
          <w:sz w:val="24"/>
          <w:szCs w:val="24"/>
        </w:rPr>
        <w:t>,</w:t>
      </w:r>
      <w:r w:rsidR="00F4551B" w:rsidRPr="00805F04">
        <w:rPr>
          <w:rFonts w:cs="Arial"/>
          <w:sz w:val="24"/>
          <w:szCs w:val="24"/>
        </w:rPr>
        <w:t xml:space="preserve"> Ben Wallace</w:t>
      </w:r>
      <w:r w:rsidR="00BC30F7" w:rsidRPr="00805F04">
        <w:rPr>
          <w:rFonts w:cs="Arial"/>
          <w:sz w:val="24"/>
          <w:szCs w:val="24"/>
        </w:rPr>
        <w:t>,</w:t>
      </w:r>
      <w:r w:rsidR="00F4551B" w:rsidRPr="00805F04">
        <w:rPr>
          <w:rFonts w:cs="Arial"/>
          <w:sz w:val="24"/>
          <w:szCs w:val="24"/>
        </w:rPr>
        <w:t xml:space="preserve"> and Minister for Defence People and Veterans</w:t>
      </w:r>
      <w:r w:rsidR="00BC30F7" w:rsidRPr="00805F04">
        <w:rPr>
          <w:rFonts w:cs="Arial"/>
          <w:sz w:val="24"/>
          <w:szCs w:val="24"/>
        </w:rPr>
        <w:t>,</w:t>
      </w:r>
      <w:r w:rsidR="00A1186D" w:rsidRPr="00805F04">
        <w:rPr>
          <w:rFonts w:cs="Arial"/>
          <w:sz w:val="24"/>
          <w:szCs w:val="24"/>
        </w:rPr>
        <w:t xml:space="preserve"> Johnny Mercer</w:t>
      </w:r>
      <w:r w:rsidR="00BC30F7" w:rsidRPr="00805F04">
        <w:rPr>
          <w:rFonts w:cs="Arial"/>
          <w:sz w:val="24"/>
          <w:szCs w:val="24"/>
        </w:rPr>
        <w:t>,</w:t>
      </w:r>
      <w:r w:rsidR="00A1186D" w:rsidRPr="00805F04">
        <w:rPr>
          <w:rFonts w:cs="Arial"/>
          <w:sz w:val="24"/>
          <w:szCs w:val="24"/>
        </w:rPr>
        <w:t xml:space="preserve"> </w:t>
      </w:r>
      <w:r w:rsidR="006C46B8" w:rsidRPr="00805F04">
        <w:rPr>
          <w:rFonts w:cs="Arial"/>
          <w:sz w:val="24"/>
          <w:szCs w:val="24"/>
        </w:rPr>
        <w:t>argued</w:t>
      </w:r>
      <w:r w:rsidR="00A1186D" w:rsidRPr="00805F04">
        <w:rPr>
          <w:rFonts w:cs="Arial"/>
          <w:sz w:val="24"/>
          <w:szCs w:val="24"/>
        </w:rPr>
        <w:t xml:space="preserve"> that violent and lethal acts are sometimes justified during combat,</w:t>
      </w:r>
      <w:r w:rsidR="00BC30F7" w:rsidRPr="00805F04">
        <w:rPr>
          <w:rFonts w:cs="Arial"/>
          <w:sz w:val="24"/>
          <w:szCs w:val="24"/>
        </w:rPr>
        <w:t xml:space="preserve"> and these activities can expose service personnel to allegations of torture or other war crimes, whereas</w:t>
      </w:r>
      <w:r w:rsidR="00A1186D" w:rsidRPr="00805F04">
        <w:rPr>
          <w:rFonts w:cs="Arial"/>
          <w:sz w:val="24"/>
          <w:szCs w:val="24"/>
        </w:rPr>
        <w:t xml:space="preserve"> sexual violence </w:t>
      </w:r>
      <w:r w:rsidR="00BC30F7" w:rsidRPr="00805F04">
        <w:rPr>
          <w:rFonts w:cs="Arial"/>
          <w:sz w:val="24"/>
          <w:szCs w:val="24"/>
        </w:rPr>
        <w:t>can never be justified</w:t>
      </w:r>
      <w:r w:rsidR="00A1186D" w:rsidRPr="00805F04">
        <w:rPr>
          <w:rFonts w:cs="Arial"/>
          <w:sz w:val="24"/>
          <w:szCs w:val="24"/>
        </w:rPr>
        <w:t>.</w:t>
      </w:r>
      <w:r w:rsidR="00A1186D" w:rsidRPr="00805F04">
        <w:rPr>
          <w:rStyle w:val="FootnoteReference"/>
          <w:rFonts w:cs="Arial"/>
          <w:sz w:val="24"/>
          <w:szCs w:val="24"/>
        </w:rPr>
        <w:footnoteReference w:id="31"/>
      </w:r>
    </w:p>
    <w:p w14:paraId="21C8766A" w14:textId="2A86930D" w:rsidR="00787D04" w:rsidRPr="00805F04" w:rsidRDefault="00787D04" w:rsidP="008C57F8">
      <w:pPr>
        <w:pStyle w:val="ListParagraph"/>
        <w:spacing w:line="360" w:lineRule="auto"/>
        <w:ind w:left="0"/>
        <w:rPr>
          <w:rFonts w:cs="Arial"/>
          <w:sz w:val="24"/>
          <w:szCs w:val="24"/>
        </w:rPr>
      </w:pPr>
    </w:p>
    <w:p w14:paraId="07C41CA3" w14:textId="27B0FE1C" w:rsidR="006D11E2" w:rsidRPr="00805F04" w:rsidRDefault="006D11E2" w:rsidP="008C57F8">
      <w:pPr>
        <w:pStyle w:val="ListParagraph"/>
        <w:spacing w:line="360" w:lineRule="auto"/>
        <w:ind w:left="0"/>
        <w:rPr>
          <w:rFonts w:cs="Arial"/>
          <w:sz w:val="24"/>
          <w:szCs w:val="24"/>
        </w:rPr>
      </w:pPr>
      <w:r w:rsidRPr="00805F04">
        <w:rPr>
          <w:rFonts w:cs="Arial"/>
          <w:sz w:val="24"/>
          <w:szCs w:val="24"/>
        </w:rPr>
        <w:t xml:space="preserve">While we accept that the use of force in military operations can sometimes be justified, torture – like sexual offences </w:t>
      </w:r>
      <w:r w:rsidR="00D00569" w:rsidRPr="00805F04">
        <w:rPr>
          <w:rFonts w:cs="Arial"/>
          <w:sz w:val="24"/>
          <w:szCs w:val="24"/>
        </w:rPr>
        <w:t>–</w:t>
      </w:r>
      <w:r w:rsidRPr="00805F04">
        <w:rPr>
          <w:rFonts w:cs="Arial"/>
          <w:sz w:val="24"/>
          <w:szCs w:val="24"/>
        </w:rPr>
        <w:t xml:space="preserve"> can</w:t>
      </w:r>
      <w:r w:rsidR="00D00569" w:rsidRPr="00805F04">
        <w:rPr>
          <w:rFonts w:cs="Arial"/>
          <w:sz w:val="24"/>
          <w:szCs w:val="24"/>
        </w:rPr>
        <w:t xml:space="preserve"> </w:t>
      </w:r>
      <w:r w:rsidRPr="00805F04">
        <w:rPr>
          <w:rFonts w:cs="Arial"/>
          <w:sz w:val="24"/>
          <w:szCs w:val="24"/>
        </w:rPr>
        <w:t xml:space="preserve">never be justified. The </w:t>
      </w:r>
      <w:proofErr w:type="spellStart"/>
      <w:r w:rsidRPr="00805F04">
        <w:rPr>
          <w:rFonts w:cs="Arial"/>
          <w:sz w:val="24"/>
          <w:szCs w:val="24"/>
        </w:rPr>
        <w:t>ECtHR</w:t>
      </w:r>
      <w:proofErr w:type="spellEnd"/>
      <w:r w:rsidRPr="00805F04">
        <w:rPr>
          <w:rFonts w:cs="Arial"/>
          <w:sz w:val="24"/>
          <w:szCs w:val="24"/>
        </w:rPr>
        <w:t xml:space="preserve"> has </w:t>
      </w:r>
      <w:r w:rsidR="001170E1" w:rsidRPr="00805F04">
        <w:rPr>
          <w:rFonts w:cs="Arial"/>
          <w:sz w:val="24"/>
          <w:szCs w:val="24"/>
        </w:rPr>
        <w:t xml:space="preserve">clarified the definition of torture (as distinct from legitimate force), </w:t>
      </w:r>
      <w:r w:rsidRPr="00805F04">
        <w:rPr>
          <w:rFonts w:cs="Arial"/>
          <w:sz w:val="24"/>
          <w:szCs w:val="24"/>
        </w:rPr>
        <w:t>describing it as ‘deliberate inhuman treatment causing very serious and cruel suffering’.</w:t>
      </w:r>
      <w:r w:rsidRPr="00805F04">
        <w:rPr>
          <w:sz w:val="24"/>
          <w:szCs w:val="24"/>
          <w:vertAlign w:val="superscript"/>
        </w:rPr>
        <w:footnoteReference w:id="32"/>
      </w:r>
      <w:r w:rsidRPr="00805F04">
        <w:rPr>
          <w:rFonts w:cs="Arial"/>
          <w:sz w:val="24"/>
          <w:szCs w:val="24"/>
          <w:vertAlign w:val="superscript"/>
        </w:rPr>
        <w:t xml:space="preserve"> </w:t>
      </w:r>
      <w:r w:rsidRPr="00805F04">
        <w:rPr>
          <w:rFonts w:cs="Arial"/>
          <w:sz w:val="24"/>
          <w:szCs w:val="24"/>
        </w:rPr>
        <w:t>This echoes the</w:t>
      </w:r>
      <w:hyperlink r:id="rId11" w:history="1">
        <w:r w:rsidRPr="00805F04">
          <w:rPr>
            <w:sz w:val="24"/>
            <w:szCs w:val="24"/>
          </w:rPr>
          <w:t xml:space="preserve"> Convention against Torture and Other Cruel, Inhuman or Degrading Treatment or Punishment</w:t>
        </w:r>
      </w:hyperlink>
      <w:r w:rsidRPr="00805F04">
        <w:rPr>
          <w:rFonts w:cs="Arial"/>
          <w:sz w:val="24"/>
          <w:szCs w:val="24"/>
        </w:rPr>
        <w:t>, which defines torture in terms of the intentional infliction of severe pain or suffering with the aim, </w:t>
      </w:r>
      <w:r w:rsidRPr="00805F04">
        <w:rPr>
          <w:rFonts w:cs="Arial"/>
          <w:i/>
          <w:sz w:val="24"/>
          <w:szCs w:val="24"/>
        </w:rPr>
        <w:t>inter alia</w:t>
      </w:r>
      <w:r w:rsidRPr="00805F04">
        <w:rPr>
          <w:rFonts w:cs="Arial"/>
          <w:sz w:val="24"/>
          <w:szCs w:val="24"/>
        </w:rPr>
        <w:t>, of obtaining information, inflicting punishment or intimidating.</w:t>
      </w:r>
      <w:r w:rsidRPr="00805F04">
        <w:rPr>
          <w:sz w:val="24"/>
          <w:szCs w:val="24"/>
          <w:vertAlign w:val="superscript"/>
        </w:rPr>
        <w:footnoteReference w:id="33"/>
      </w:r>
    </w:p>
    <w:p w14:paraId="2110F096" w14:textId="77777777" w:rsidR="00D00569" w:rsidRPr="00805F04" w:rsidRDefault="00D00569" w:rsidP="008C57F8">
      <w:pPr>
        <w:pStyle w:val="ListParagraph"/>
        <w:spacing w:line="360" w:lineRule="auto"/>
        <w:ind w:left="0"/>
        <w:rPr>
          <w:rFonts w:cs="Arial"/>
          <w:sz w:val="24"/>
          <w:szCs w:val="24"/>
        </w:rPr>
      </w:pPr>
    </w:p>
    <w:p w14:paraId="6B7C92BE" w14:textId="4DB6C2E2" w:rsidR="00C65D82" w:rsidRPr="00805F04" w:rsidRDefault="0088503D" w:rsidP="008C57F8">
      <w:pPr>
        <w:pStyle w:val="ListParagraph"/>
        <w:spacing w:line="360" w:lineRule="auto"/>
        <w:ind w:left="0"/>
        <w:rPr>
          <w:rFonts w:cs="Arial"/>
          <w:sz w:val="24"/>
          <w:szCs w:val="24"/>
        </w:rPr>
      </w:pPr>
      <w:r w:rsidRPr="00805F04">
        <w:rPr>
          <w:rFonts w:cs="Arial"/>
          <w:sz w:val="24"/>
          <w:szCs w:val="24"/>
        </w:rPr>
        <w:t xml:space="preserve">The distinction between legitimate force and other serious international crimes, such as genocide, it also clear. The Convention on the Prevention and Punishment of the Crime of Genocide defines genocide as acts </w:t>
      </w:r>
      <w:r w:rsidR="00CA68A0" w:rsidRPr="00805F04">
        <w:rPr>
          <w:rFonts w:cs="Arial"/>
          <w:sz w:val="24"/>
          <w:szCs w:val="24"/>
        </w:rPr>
        <w:t xml:space="preserve">committed with intent to destroy, in whole or in part, a national, ethnical, racial or religious group, including, for example, </w:t>
      </w:r>
      <w:r w:rsidR="00CA68A0" w:rsidRPr="00805F04">
        <w:rPr>
          <w:rFonts w:cs="Arial"/>
          <w:sz w:val="24"/>
          <w:szCs w:val="24"/>
        </w:rPr>
        <w:lastRenderedPageBreak/>
        <w:t>by</w:t>
      </w:r>
      <w:r w:rsidRPr="00805F04">
        <w:rPr>
          <w:rFonts w:cs="Arial"/>
          <w:sz w:val="24"/>
          <w:szCs w:val="24"/>
        </w:rPr>
        <w:t xml:space="preserve"> killing </w:t>
      </w:r>
      <w:r w:rsidR="00CA68A0" w:rsidRPr="00805F04">
        <w:rPr>
          <w:rFonts w:cs="Arial"/>
          <w:sz w:val="24"/>
          <w:szCs w:val="24"/>
        </w:rPr>
        <w:t>members of the group or causing</w:t>
      </w:r>
      <w:r w:rsidRPr="00805F04">
        <w:rPr>
          <w:rFonts w:cs="Arial"/>
          <w:sz w:val="24"/>
          <w:szCs w:val="24"/>
        </w:rPr>
        <w:t xml:space="preserve"> serious bodily or mental harm to members.</w:t>
      </w:r>
      <w:r w:rsidRPr="00805F04">
        <w:rPr>
          <w:rStyle w:val="FootnoteReference"/>
          <w:rFonts w:cs="Arial"/>
          <w:sz w:val="24"/>
          <w:szCs w:val="24"/>
        </w:rPr>
        <w:footnoteReference w:id="34"/>
      </w:r>
      <w:r w:rsidRPr="00805F04">
        <w:rPr>
          <w:rFonts w:cs="Arial"/>
          <w:sz w:val="24"/>
          <w:szCs w:val="24"/>
        </w:rPr>
        <w:t xml:space="preserve"> </w:t>
      </w:r>
    </w:p>
    <w:p w14:paraId="05A7E03B" w14:textId="77777777" w:rsidR="00C65D82" w:rsidRPr="00805F04" w:rsidRDefault="00C65D82" w:rsidP="008C57F8">
      <w:pPr>
        <w:pStyle w:val="ListParagraph"/>
        <w:spacing w:line="360" w:lineRule="auto"/>
        <w:ind w:left="0"/>
        <w:rPr>
          <w:rFonts w:cs="Arial"/>
          <w:sz w:val="24"/>
          <w:szCs w:val="24"/>
        </w:rPr>
      </w:pPr>
    </w:p>
    <w:p w14:paraId="4EB728B9" w14:textId="187B48C9" w:rsidR="0088503D" w:rsidRPr="00805F04" w:rsidRDefault="00C65D82" w:rsidP="008C57F8">
      <w:pPr>
        <w:pStyle w:val="ListParagraph"/>
        <w:spacing w:line="360" w:lineRule="auto"/>
        <w:ind w:left="0"/>
        <w:rPr>
          <w:rFonts w:cs="Arial"/>
          <w:sz w:val="24"/>
          <w:szCs w:val="24"/>
        </w:rPr>
      </w:pPr>
      <w:r w:rsidRPr="00805F04">
        <w:rPr>
          <w:rFonts w:cs="Arial"/>
          <w:sz w:val="24"/>
          <w:szCs w:val="24"/>
        </w:rPr>
        <w:t>The Rome Statute of the ICC lists a number of acts which, if committed ‘as part of a widespread or systematic attack directed against any civilian population, with knowledge of the attack’ amount to crimes against humanity.</w:t>
      </w:r>
      <w:r w:rsidRPr="00805F04">
        <w:rPr>
          <w:rStyle w:val="FootnoteReference"/>
          <w:rFonts w:cs="Arial"/>
          <w:sz w:val="24"/>
          <w:szCs w:val="24"/>
        </w:rPr>
        <w:footnoteReference w:id="35"/>
      </w:r>
      <w:r w:rsidRPr="00805F04">
        <w:rPr>
          <w:rFonts w:cs="Arial"/>
          <w:sz w:val="24"/>
          <w:szCs w:val="24"/>
        </w:rPr>
        <w:t xml:space="preserve"> These acts include, among others, murder, enslavement and deportation</w:t>
      </w:r>
      <w:r w:rsidR="00B04F3E" w:rsidRPr="00805F04">
        <w:rPr>
          <w:rFonts w:cs="Arial"/>
          <w:sz w:val="24"/>
          <w:szCs w:val="24"/>
        </w:rPr>
        <w:t xml:space="preserve"> or forcible transfer of population</w:t>
      </w:r>
      <w:r w:rsidRPr="00805F04">
        <w:rPr>
          <w:rFonts w:cs="Arial"/>
          <w:sz w:val="24"/>
          <w:szCs w:val="24"/>
        </w:rPr>
        <w:t>.</w:t>
      </w:r>
      <w:r w:rsidRPr="00805F04">
        <w:rPr>
          <w:rStyle w:val="FootnoteReference"/>
          <w:rFonts w:cs="Arial"/>
          <w:sz w:val="24"/>
          <w:szCs w:val="24"/>
        </w:rPr>
        <w:footnoteReference w:id="36"/>
      </w:r>
      <w:r w:rsidRPr="00805F04">
        <w:rPr>
          <w:rFonts w:cs="Arial"/>
          <w:sz w:val="24"/>
          <w:szCs w:val="24"/>
        </w:rPr>
        <w:t xml:space="preserve"> </w:t>
      </w:r>
    </w:p>
    <w:p w14:paraId="1A485B7E" w14:textId="3EEBF79B" w:rsidR="00CA68A0" w:rsidRPr="00805F04" w:rsidRDefault="00CA68A0" w:rsidP="008C57F8">
      <w:pPr>
        <w:pStyle w:val="ListParagraph"/>
        <w:spacing w:line="360" w:lineRule="auto"/>
        <w:ind w:left="0"/>
        <w:rPr>
          <w:rFonts w:cs="Arial"/>
          <w:sz w:val="24"/>
          <w:szCs w:val="24"/>
        </w:rPr>
      </w:pPr>
    </w:p>
    <w:p w14:paraId="7D86BA04" w14:textId="4D1EF747" w:rsidR="00CA68A0" w:rsidRPr="00805F04" w:rsidRDefault="00322D46" w:rsidP="008C57F8">
      <w:pPr>
        <w:pStyle w:val="ListParagraph"/>
        <w:spacing w:line="360" w:lineRule="auto"/>
        <w:ind w:left="0"/>
        <w:rPr>
          <w:rFonts w:cs="Arial"/>
          <w:sz w:val="24"/>
          <w:szCs w:val="24"/>
        </w:rPr>
      </w:pPr>
      <w:r w:rsidRPr="00805F04">
        <w:rPr>
          <w:rFonts w:cs="Arial"/>
          <w:sz w:val="24"/>
          <w:szCs w:val="24"/>
        </w:rPr>
        <w:t>Similarly, the Rome Statute lists a number of acts which amount to war crimes if committed ‘as part of a plan or policy or as part of a large-scale commission of such crimes’.</w:t>
      </w:r>
      <w:r w:rsidRPr="00805F04">
        <w:rPr>
          <w:rStyle w:val="FootnoteReference"/>
          <w:rFonts w:cs="Arial"/>
          <w:sz w:val="24"/>
          <w:szCs w:val="24"/>
        </w:rPr>
        <w:footnoteReference w:id="37"/>
      </w:r>
      <w:r w:rsidRPr="00805F04">
        <w:rPr>
          <w:rFonts w:cs="Arial"/>
          <w:sz w:val="24"/>
          <w:szCs w:val="24"/>
        </w:rPr>
        <w:t xml:space="preserve"> These acts include, among others, </w:t>
      </w:r>
      <w:r w:rsidR="00A85555" w:rsidRPr="00805F04">
        <w:rPr>
          <w:rFonts w:cs="Arial"/>
          <w:sz w:val="24"/>
          <w:szCs w:val="24"/>
        </w:rPr>
        <w:t>wilful killing,</w:t>
      </w:r>
      <w:r w:rsidR="00C23FFD" w:rsidRPr="00805F04">
        <w:rPr>
          <w:rFonts w:cs="Arial"/>
          <w:sz w:val="24"/>
          <w:szCs w:val="24"/>
        </w:rPr>
        <w:t xml:space="preserve"> wilfully causing great suffering, or s</w:t>
      </w:r>
      <w:r w:rsidR="00A85555" w:rsidRPr="00805F04">
        <w:rPr>
          <w:rFonts w:cs="Arial"/>
          <w:sz w:val="24"/>
          <w:szCs w:val="24"/>
        </w:rPr>
        <w:t>erious injury to body or health,</w:t>
      </w:r>
      <w:r w:rsidR="00C23FFD" w:rsidRPr="00805F04">
        <w:rPr>
          <w:rFonts w:cs="Arial"/>
          <w:sz w:val="24"/>
          <w:szCs w:val="24"/>
        </w:rPr>
        <w:t xml:space="preserve"> and taking of hostages.</w:t>
      </w:r>
      <w:r w:rsidR="00C23FFD" w:rsidRPr="00805F04">
        <w:rPr>
          <w:rStyle w:val="FootnoteReference"/>
          <w:rFonts w:cs="Arial"/>
          <w:sz w:val="24"/>
          <w:szCs w:val="24"/>
        </w:rPr>
        <w:footnoteReference w:id="38"/>
      </w:r>
    </w:p>
    <w:p w14:paraId="32677973" w14:textId="77777777" w:rsidR="0088503D" w:rsidRPr="00805F04" w:rsidRDefault="0088503D" w:rsidP="008C57F8">
      <w:pPr>
        <w:pStyle w:val="ListParagraph"/>
        <w:spacing w:line="360" w:lineRule="auto"/>
        <w:ind w:left="0"/>
        <w:rPr>
          <w:rFonts w:cs="Arial"/>
          <w:i/>
          <w:sz w:val="24"/>
          <w:szCs w:val="24"/>
        </w:rPr>
      </w:pPr>
    </w:p>
    <w:p w14:paraId="3215BEA8" w14:textId="3CF62565" w:rsidR="005C10F7" w:rsidRPr="00805F04" w:rsidRDefault="0088503D" w:rsidP="00E32F97">
      <w:pPr>
        <w:pStyle w:val="ListParagraph"/>
        <w:spacing w:line="360" w:lineRule="auto"/>
        <w:ind w:left="0"/>
        <w:rPr>
          <w:rFonts w:cs="Arial"/>
          <w:sz w:val="24"/>
          <w:szCs w:val="24"/>
        </w:rPr>
      </w:pPr>
      <w:r w:rsidRPr="00805F04">
        <w:rPr>
          <w:rFonts w:cs="Arial"/>
          <w:sz w:val="24"/>
          <w:szCs w:val="24"/>
        </w:rPr>
        <w:t xml:space="preserve">These acts are clearly distinct from legitimate use of force during combat and </w:t>
      </w:r>
      <w:r w:rsidR="00C65D82" w:rsidRPr="00805F04">
        <w:rPr>
          <w:rFonts w:cs="Arial"/>
          <w:sz w:val="24"/>
          <w:szCs w:val="24"/>
        </w:rPr>
        <w:t>it is</w:t>
      </w:r>
      <w:r w:rsidRPr="00805F04">
        <w:rPr>
          <w:rFonts w:cs="Arial"/>
          <w:sz w:val="24"/>
          <w:szCs w:val="24"/>
        </w:rPr>
        <w:t xml:space="preserve"> difficult to envisage a situation in which British service personnel would be engaged i</w:t>
      </w:r>
      <w:r w:rsidR="00805F04" w:rsidRPr="00805F04">
        <w:rPr>
          <w:rFonts w:cs="Arial"/>
          <w:sz w:val="24"/>
          <w:szCs w:val="24"/>
        </w:rPr>
        <w:t xml:space="preserve">n legitimate use of </w:t>
      </w:r>
      <w:proofErr w:type="gramStart"/>
      <w:r w:rsidR="00805F04" w:rsidRPr="00805F04">
        <w:rPr>
          <w:rFonts w:cs="Arial"/>
          <w:sz w:val="24"/>
          <w:szCs w:val="24"/>
        </w:rPr>
        <w:t>force which</w:t>
      </w:r>
      <w:proofErr w:type="gramEnd"/>
      <w:r w:rsidR="00526901" w:rsidRPr="00805F04">
        <w:rPr>
          <w:rFonts w:cs="Arial"/>
          <w:sz w:val="24"/>
          <w:szCs w:val="24"/>
        </w:rPr>
        <w:t xml:space="preserve"> meets</w:t>
      </w:r>
      <w:r w:rsidRPr="00805F04">
        <w:rPr>
          <w:rFonts w:cs="Arial"/>
          <w:sz w:val="24"/>
          <w:szCs w:val="24"/>
        </w:rPr>
        <w:t xml:space="preserve"> th</w:t>
      </w:r>
      <w:r w:rsidR="00526901" w:rsidRPr="00805F04">
        <w:rPr>
          <w:rFonts w:cs="Arial"/>
          <w:sz w:val="24"/>
          <w:szCs w:val="24"/>
        </w:rPr>
        <w:t>es</w:t>
      </w:r>
      <w:r w:rsidRPr="00805F04">
        <w:rPr>
          <w:rFonts w:cs="Arial"/>
          <w:sz w:val="24"/>
          <w:szCs w:val="24"/>
        </w:rPr>
        <w:t>e definitions of torture</w:t>
      </w:r>
      <w:r w:rsidR="00C65D82" w:rsidRPr="00805F04">
        <w:rPr>
          <w:rFonts w:cs="Arial"/>
          <w:sz w:val="24"/>
          <w:szCs w:val="24"/>
        </w:rPr>
        <w:t>,</w:t>
      </w:r>
      <w:r w:rsidRPr="00805F04">
        <w:rPr>
          <w:rFonts w:cs="Arial"/>
          <w:sz w:val="24"/>
          <w:szCs w:val="24"/>
        </w:rPr>
        <w:t xml:space="preserve"> genocide</w:t>
      </w:r>
      <w:r w:rsidR="00C65D82" w:rsidRPr="00805F04">
        <w:rPr>
          <w:rFonts w:cs="Arial"/>
          <w:sz w:val="24"/>
          <w:szCs w:val="24"/>
        </w:rPr>
        <w:t>, crimes against humanity and war crimes</w:t>
      </w:r>
      <w:r w:rsidRPr="00805F04">
        <w:rPr>
          <w:rFonts w:cs="Arial"/>
          <w:sz w:val="24"/>
          <w:szCs w:val="24"/>
        </w:rPr>
        <w:t>.</w:t>
      </w:r>
      <w:r w:rsidR="008B739C" w:rsidRPr="00805F04">
        <w:rPr>
          <w:rFonts w:cs="Arial"/>
          <w:sz w:val="24"/>
          <w:szCs w:val="24"/>
        </w:rPr>
        <w:t xml:space="preserve"> In the rare event that credible allegations of such crimes </w:t>
      </w:r>
      <w:proofErr w:type="gramStart"/>
      <w:r w:rsidR="008B739C" w:rsidRPr="00805F04">
        <w:rPr>
          <w:rFonts w:cs="Arial"/>
          <w:sz w:val="24"/>
          <w:szCs w:val="24"/>
        </w:rPr>
        <w:t>might be made</w:t>
      </w:r>
      <w:proofErr w:type="gramEnd"/>
      <w:r w:rsidR="008B739C" w:rsidRPr="00805F04">
        <w:rPr>
          <w:rFonts w:cs="Arial"/>
          <w:sz w:val="24"/>
          <w:szCs w:val="24"/>
        </w:rPr>
        <w:t xml:space="preserve"> against British service personnel, they should be effectively investigated.</w:t>
      </w:r>
    </w:p>
    <w:p w14:paraId="4732EA2D" w14:textId="7F8855BF" w:rsidR="0088503D" w:rsidRPr="00805F04" w:rsidRDefault="0088503D" w:rsidP="00E32F97">
      <w:pPr>
        <w:pStyle w:val="ListParagraph"/>
        <w:spacing w:line="360" w:lineRule="auto"/>
        <w:ind w:left="0"/>
        <w:rPr>
          <w:rFonts w:cs="Arial"/>
          <w:sz w:val="24"/>
          <w:szCs w:val="24"/>
        </w:rPr>
      </w:pPr>
    </w:p>
    <w:p w14:paraId="2C4E7799" w14:textId="5CC0FBD4" w:rsidR="00CA68A0" w:rsidRDefault="00C23FFD" w:rsidP="00E32F97">
      <w:pPr>
        <w:pStyle w:val="ListParagraph"/>
        <w:spacing w:line="360" w:lineRule="auto"/>
        <w:ind w:left="0"/>
        <w:rPr>
          <w:rFonts w:cs="Arial"/>
          <w:sz w:val="24"/>
          <w:szCs w:val="24"/>
        </w:rPr>
      </w:pPr>
      <w:r w:rsidRPr="00805F04">
        <w:rPr>
          <w:rFonts w:cs="Arial"/>
          <w:sz w:val="24"/>
          <w:szCs w:val="24"/>
        </w:rPr>
        <w:t>T</w:t>
      </w:r>
      <w:r w:rsidR="00CA68A0" w:rsidRPr="00805F04">
        <w:rPr>
          <w:rFonts w:cs="Arial"/>
          <w:sz w:val="24"/>
          <w:szCs w:val="24"/>
        </w:rPr>
        <w:t>he Government recognises that sexual offences are s</w:t>
      </w:r>
      <w:r w:rsidR="00777900" w:rsidRPr="00805F04">
        <w:rPr>
          <w:rFonts w:cs="Arial"/>
          <w:sz w:val="24"/>
          <w:szCs w:val="24"/>
        </w:rPr>
        <w:t>o</w:t>
      </w:r>
      <w:r w:rsidR="00CA68A0" w:rsidRPr="00805F04">
        <w:rPr>
          <w:rFonts w:cs="Arial"/>
          <w:sz w:val="24"/>
          <w:szCs w:val="24"/>
        </w:rPr>
        <w:t xml:space="preserve"> innately unjusti</w:t>
      </w:r>
      <w:r w:rsidRPr="00805F04">
        <w:rPr>
          <w:rFonts w:cs="Arial"/>
          <w:sz w:val="24"/>
          <w:szCs w:val="24"/>
        </w:rPr>
        <w:t>fi</w:t>
      </w:r>
      <w:r w:rsidR="00CA68A0" w:rsidRPr="00805F04">
        <w:rPr>
          <w:rFonts w:cs="Arial"/>
          <w:sz w:val="24"/>
          <w:szCs w:val="24"/>
        </w:rPr>
        <w:t>able that they</w:t>
      </w:r>
      <w:r w:rsidRPr="00805F04">
        <w:rPr>
          <w:rFonts w:cs="Arial"/>
          <w:sz w:val="24"/>
          <w:szCs w:val="24"/>
        </w:rPr>
        <w:t xml:space="preserve"> </w:t>
      </w:r>
      <w:r w:rsidR="00CA68A0" w:rsidRPr="00805F04">
        <w:rPr>
          <w:rFonts w:cs="Arial"/>
          <w:sz w:val="24"/>
          <w:szCs w:val="24"/>
        </w:rPr>
        <w:t>should</w:t>
      </w:r>
      <w:r w:rsidR="00AB35BA" w:rsidRPr="00805F04">
        <w:rPr>
          <w:rFonts w:cs="Arial"/>
          <w:sz w:val="24"/>
          <w:szCs w:val="24"/>
        </w:rPr>
        <w:t xml:space="preserve"> </w:t>
      </w:r>
      <w:r w:rsidR="00CA68A0" w:rsidRPr="00805F04">
        <w:rPr>
          <w:rFonts w:cs="Arial"/>
          <w:sz w:val="24"/>
          <w:szCs w:val="24"/>
        </w:rPr>
        <w:t>n</w:t>
      </w:r>
      <w:r w:rsidR="00AB35BA" w:rsidRPr="00805F04">
        <w:rPr>
          <w:rFonts w:cs="Arial"/>
          <w:sz w:val="24"/>
          <w:szCs w:val="24"/>
        </w:rPr>
        <w:t>o</w:t>
      </w:r>
      <w:r w:rsidR="00CA68A0" w:rsidRPr="00805F04">
        <w:rPr>
          <w:rFonts w:cs="Arial"/>
          <w:sz w:val="24"/>
          <w:szCs w:val="24"/>
        </w:rPr>
        <w:t xml:space="preserve">t be subject to </w:t>
      </w:r>
      <w:r w:rsidRPr="00805F04">
        <w:rPr>
          <w:rFonts w:cs="Arial"/>
          <w:sz w:val="24"/>
          <w:szCs w:val="24"/>
        </w:rPr>
        <w:t xml:space="preserve">the clauses in the </w:t>
      </w:r>
      <w:proofErr w:type="gramStart"/>
      <w:r w:rsidRPr="00805F04">
        <w:rPr>
          <w:rFonts w:cs="Arial"/>
          <w:sz w:val="24"/>
          <w:szCs w:val="24"/>
        </w:rPr>
        <w:t>Bill which</w:t>
      </w:r>
      <w:proofErr w:type="gramEnd"/>
      <w:r w:rsidRPr="00805F04">
        <w:rPr>
          <w:rFonts w:cs="Arial"/>
          <w:sz w:val="24"/>
          <w:szCs w:val="24"/>
        </w:rPr>
        <w:t xml:space="preserve"> tend against prosecution.</w:t>
      </w:r>
      <w:r w:rsidR="00CA68A0" w:rsidRPr="00805F04">
        <w:rPr>
          <w:rFonts w:cs="Arial"/>
          <w:sz w:val="24"/>
          <w:szCs w:val="24"/>
        </w:rPr>
        <w:t xml:space="preserve"> </w:t>
      </w:r>
      <w:r w:rsidRPr="00805F04">
        <w:rPr>
          <w:rFonts w:cs="Arial"/>
          <w:sz w:val="24"/>
          <w:szCs w:val="24"/>
        </w:rPr>
        <w:lastRenderedPageBreak/>
        <w:t xml:space="preserve">By the same logic, </w:t>
      </w:r>
      <w:r w:rsidR="00CA68A0" w:rsidRPr="00805F04">
        <w:rPr>
          <w:rFonts w:cs="Arial"/>
          <w:sz w:val="24"/>
          <w:szCs w:val="24"/>
        </w:rPr>
        <w:t xml:space="preserve">crimes </w:t>
      </w:r>
      <w:r w:rsidRPr="00805F04">
        <w:rPr>
          <w:rFonts w:cs="Arial"/>
          <w:sz w:val="24"/>
          <w:szCs w:val="24"/>
        </w:rPr>
        <w:t>as</w:t>
      </w:r>
      <w:r w:rsidR="00CA68A0" w:rsidRPr="00805F04">
        <w:rPr>
          <w:rFonts w:cs="Arial"/>
          <w:sz w:val="24"/>
          <w:szCs w:val="24"/>
        </w:rPr>
        <w:t xml:space="preserve"> reprehensible as torture, genocide</w:t>
      </w:r>
      <w:r w:rsidRPr="00805F04">
        <w:rPr>
          <w:rFonts w:cs="Arial"/>
          <w:sz w:val="24"/>
          <w:szCs w:val="24"/>
        </w:rPr>
        <w:t xml:space="preserve">, crimes against humanity and war crimes </w:t>
      </w:r>
      <w:proofErr w:type="gramStart"/>
      <w:r w:rsidRPr="00805F04">
        <w:rPr>
          <w:rFonts w:cs="Arial"/>
          <w:sz w:val="24"/>
          <w:szCs w:val="24"/>
        </w:rPr>
        <w:t>should also be excluded</w:t>
      </w:r>
      <w:proofErr w:type="gramEnd"/>
      <w:r w:rsidRPr="00805F04">
        <w:rPr>
          <w:rFonts w:cs="Arial"/>
          <w:sz w:val="24"/>
          <w:szCs w:val="24"/>
        </w:rPr>
        <w:t xml:space="preserve"> from the scope of the Bill.</w:t>
      </w:r>
      <w:r>
        <w:rPr>
          <w:rFonts w:cs="Arial"/>
          <w:sz w:val="24"/>
          <w:szCs w:val="24"/>
        </w:rPr>
        <w:t xml:space="preserve"> </w:t>
      </w:r>
    </w:p>
    <w:p w14:paraId="7289CF20" w14:textId="111788EB" w:rsidR="00D82D0C" w:rsidRDefault="00D82D0C">
      <w:pPr>
        <w:spacing w:after="160" w:line="259" w:lineRule="auto"/>
        <w:rPr>
          <w:rFonts w:cs="Arial"/>
          <w:szCs w:val="24"/>
        </w:rPr>
      </w:pPr>
      <w:r>
        <w:rPr>
          <w:rFonts w:cs="Arial"/>
          <w:szCs w:val="24"/>
        </w:rPr>
        <w:br w:type="page"/>
      </w:r>
    </w:p>
    <w:p w14:paraId="4EEC61AF" w14:textId="56858F89" w:rsidR="00D82D0C" w:rsidRDefault="00D82D0C" w:rsidP="00D82D0C">
      <w:pPr>
        <w:pStyle w:val="Heading3"/>
      </w:pPr>
      <w:bookmarkStart w:id="16" w:name="_Toc61857604"/>
      <w:r>
        <w:t>Limiting courts’ discretion</w:t>
      </w:r>
      <w:bookmarkEnd w:id="16"/>
    </w:p>
    <w:p w14:paraId="7955BB09" w14:textId="77777777" w:rsidR="00CA68A0" w:rsidRDefault="00CA68A0" w:rsidP="00322D46">
      <w:pPr>
        <w:pStyle w:val="ListParagraph"/>
        <w:spacing w:line="360" w:lineRule="auto"/>
        <w:ind w:left="0"/>
        <w:rPr>
          <w:rFonts w:cs="Arial"/>
          <w:sz w:val="24"/>
          <w:szCs w:val="24"/>
        </w:rPr>
      </w:pPr>
    </w:p>
    <w:p w14:paraId="4EA728DC" w14:textId="288FBC81" w:rsidR="003F4C6B" w:rsidRPr="000A37D7" w:rsidRDefault="003F4C6B" w:rsidP="00DB606D">
      <w:pPr>
        <w:pStyle w:val="ListParagraph"/>
        <w:numPr>
          <w:ilvl w:val="0"/>
          <w:numId w:val="32"/>
        </w:numPr>
        <w:spacing w:line="360" w:lineRule="auto"/>
        <w:rPr>
          <w:rFonts w:cs="Arial"/>
          <w:b/>
          <w:sz w:val="24"/>
          <w:szCs w:val="24"/>
        </w:rPr>
      </w:pPr>
      <w:r w:rsidRPr="003F4C6B">
        <w:rPr>
          <w:rFonts w:cs="Arial"/>
          <w:b/>
          <w:sz w:val="24"/>
          <w:szCs w:val="24"/>
        </w:rPr>
        <w:t xml:space="preserve">Withdraw legislative proposals that limit courts’ discretion to determine whether to extend existing time limits for civil and human rights claims on a </w:t>
      </w:r>
      <w:proofErr w:type="gramStart"/>
      <w:r w:rsidRPr="003F4C6B">
        <w:rPr>
          <w:rFonts w:cs="Arial"/>
          <w:b/>
          <w:sz w:val="24"/>
          <w:szCs w:val="24"/>
        </w:rPr>
        <w:t>case by case</w:t>
      </w:r>
      <w:proofErr w:type="gramEnd"/>
      <w:r w:rsidRPr="003F4C6B">
        <w:rPr>
          <w:rFonts w:cs="Arial"/>
          <w:b/>
          <w:sz w:val="24"/>
          <w:szCs w:val="24"/>
        </w:rPr>
        <w:t xml:space="preserve"> basis</w:t>
      </w:r>
      <w:r>
        <w:rPr>
          <w:rFonts w:cs="Arial"/>
          <w:b/>
          <w:sz w:val="24"/>
          <w:szCs w:val="24"/>
        </w:rPr>
        <w:t>.</w:t>
      </w:r>
    </w:p>
    <w:p w14:paraId="56BC65F0" w14:textId="6B0595AD" w:rsidR="000A37D7" w:rsidRDefault="000A37D7" w:rsidP="00D02962">
      <w:pPr>
        <w:spacing w:line="360" w:lineRule="auto"/>
        <w:rPr>
          <w:rFonts w:cs="Arial"/>
          <w:szCs w:val="24"/>
        </w:rPr>
      </w:pPr>
      <w:r w:rsidRPr="000A37D7">
        <w:rPr>
          <w:rFonts w:cs="Arial"/>
          <w:szCs w:val="24"/>
        </w:rPr>
        <w:t>As drafted</w:t>
      </w:r>
      <w:r w:rsidR="008B739C">
        <w:rPr>
          <w:rFonts w:cs="Arial"/>
          <w:szCs w:val="24"/>
        </w:rPr>
        <w:t>,</w:t>
      </w:r>
      <w:r w:rsidRPr="000A37D7">
        <w:rPr>
          <w:rFonts w:cs="Arial"/>
          <w:szCs w:val="24"/>
        </w:rPr>
        <w:t xml:space="preserve"> the Bill introduces a ‘long stop’</w:t>
      </w:r>
      <w:r>
        <w:rPr>
          <w:rFonts w:cs="Arial"/>
          <w:szCs w:val="24"/>
        </w:rPr>
        <w:t xml:space="preserve"> of six years</w:t>
      </w:r>
      <w:r w:rsidRPr="000A37D7">
        <w:rPr>
          <w:rFonts w:cs="Arial"/>
          <w:szCs w:val="24"/>
        </w:rPr>
        <w:t xml:space="preserve"> </w:t>
      </w:r>
      <w:r>
        <w:rPr>
          <w:rFonts w:cs="Arial"/>
          <w:szCs w:val="24"/>
        </w:rPr>
        <w:t>on civil claims in cases of personal injury and death</w:t>
      </w:r>
      <w:r>
        <w:rPr>
          <w:rStyle w:val="FootnoteReference"/>
          <w:rFonts w:cs="Arial"/>
          <w:szCs w:val="24"/>
        </w:rPr>
        <w:footnoteReference w:id="39"/>
      </w:r>
      <w:r>
        <w:rPr>
          <w:rFonts w:cs="Arial"/>
          <w:szCs w:val="24"/>
        </w:rPr>
        <w:t xml:space="preserve"> and </w:t>
      </w:r>
      <w:r w:rsidR="004A4972">
        <w:rPr>
          <w:rFonts w:cs="Arial"/>
          <w:szCs w:val="24"/>
        </w:rPr>
        <w:t>limits courts</w:t>
      </w:r>
      <w:r w:rsidR="00C45230">
        <w:rPr>
          <w:rFonts w:cs="Arial"/>
          <w:szCs w:val="24"/>
        </w:rPr>
        <w:t>’</w:t>
      </w:r>
      <w:r w:rsidR="004A4972">
        <w:rPr>
          <w:rFonts w:cs="Arial"/>
          <w:szCs w:val="24"/>
        </w:rPr>
        <w:t xml:space="preserve"> discretion to extend the </w:t>
      </w:r>
      <w:r>
        <w:rPr>
          <w:rFonts w:cs="Arial"/>
          <w:szCs w:val="24"/>
        </w:rPr>
        <w:t xml:space="preserve">one-year time limit for </w:t>
      </w:r>
      <w:r w:rsidR="004A4972">
        <w:rPr>
          <w:rFonts w:cs="Arial"/>
          <w:szCs w:val="24"/>
        </w:rPr>
        <w:t>HRA</w:t>
      </w:r>
      <w:r>
        <w:rPr>
          <w:rFonts w:cs="Arial"/>
          <w:szCs w:val="24"/>
        </w:rPr>
        <w:t xml:space="preserve"> claims</w:t>
      </w:r>
      <w:r w:rsidR="00C4740A">
        <w:rPr>
          <w:rFonts w:cs="Arial"/>
          <w:szCs w:val="24"/>
        </w:rPr>
        <w:t xml:space="preserve"> where</w:t>
      </w:r>
      <w:r w:rsidR="004A4972">
        <w:rPr>
          <w:rFonts w:cs="Arial"/>
          <w:szCs w:val="24"/>
        </w:rPr>
        <w:t xml:space="preserve"> they arise</w:t>
      </w:r>
      <w:r>
        <w:rPr>
          <w:rFonts w:cs="Arial"/>
          <w:szCs w:val="24"/>
        </w:rPr>
        <w:t xml:space="preserve"> in the course of overseas operations.</w:t>
      </w:r>
      <w:r>
        <w:rPr>
          <w:rStyle w:val="FootnoteReference"/>
          <w:rFonts w:cs="Arial"/>
          <w:szCs w:val="24"/>
        </w:rPr>
        <w:footnoteReference w:id="40"/>
      </w:r>
      <w:r w:rsidR="004A4972">
        <w:rPr>
          <w:rFonts w:cs="Arial"/>
          <w:szCs w:val="24"/>
        </w:rPr>
        <w:t xml:space="preserve"> The Bill would further create an absolute prohibition on claims under the HRA</w:t>
      </w:r>
      <w:r w:rsidR="00877240">
        <w:rPr>
          <w:rFonts w:cs="Arial"/>
          <w:szCs w:val="24"/>
        </w:rPr>
        <w:t xml:space="preserve"> </w:t>
      </w:r>
      <w:r w:rsidR="004A4972">
        <w:rPr>
          <w:rFonts w:cs="Arial"/>
          <w:szCs w:val="24"/>
        </w:rPr>
        <w:t xml:space="preserve">being brought more than six years after </w:t>
      </w:r>
      <w:r w:rsidR="004A4972">
        <w:t>the date on which the act complained of took place</w:t>
      </w:r>
      <w:r w:rsidR="006724E1">
        <w:t>,</w:t>
      </w:r>
      <w:r w:rsidR="00C7224C">
        <w:rPr>
          <w:rFonts w:cs="Arial"/>
          <w:szCs w:val="24"/>
        </w:rPr>
        <w:t xml:space="preserve"> </w:t>
      </w:r>
      <w:r w:rsidR="004A4972">
        <w:rPr>
          <w:rFonts w:cs="Arial"/>
          <w:szCs w:val="24"/>
        </w:rPr>
        <w:t xml:space="preserve">or more than </w:t>
      </w:r>
      <w:r w:rsidR="004A4972">
        <w:t xml:space="preserve">12 months </w:t>
      </w:r>
      <w:r w:rsidR="004A4972">
        <w:rPr>
          <w:rFonts w:cs="Arial"/>
          <w:szCs w:val="24"/>
        </w:rPr>
        <w:t>after the date of knowledge (if later)</w:t>
      </w:r>
      <w:r w:rsidR="00C94584">
        <w:rPr>
          <w:rFonts w:cs="Arial"/>
          <w:szCs w:val="24"/>
        </w:rPr>
        <w:t>, where they relate to overseas operations</w:t>
      </w:r>
      <w:r w:rsidR="004A4972">
        <w:rPr>
          <w:rFonts w:cs="Arial"/>
          <w:szCs w:val="24"/>
        </w:rPr>
        <w:t>.</w:t>
      </w:r>
      <w:r w:rsidR="004A4972">
        <w:rPr>
          <w:rStyle w:val="FootnoteReference"/>
          <w:rFonts w:cs="Arial"/>
          <w:szCs w:val="24"/>
        </w:rPr>
        <w:footnoteReference w:id="41"/>
      </w:r>
    </w:p>
    <w:p w14:paraId="48D8F345" w14:textId="57FD6E84" w:rsidR="004A4972" w:rsidRDefault="004A4972" w:rsidP="00D02962">
      <w:pPr>
        <w:spacing w:line="360" w:lineRule="auto"/>
        <w:rPr>
          <w:rFonts w:cs="Arial"/>
          <w:szCs w:val="24"/>
        </w:rPr>
      </w:pPr>
    </w:p>
    <w:p w14:paraId="3085B012" w14:textId="06EB248C" w:rsidR="004A4972" w:rsidRDefault="00877240" w:rsidP="00D02962">
      <w:pPr>
        <w:spacing w:line="360" w:lineRule="auto"/>
        <w:rPr>
          <w:rFonts w:cs="Arial"/>
          <w:szCs w:val="24"/>
        </w:rPr>
      </w:pPr>
      <w:r>
        <w:rPr>
          <w:rFonts w:cs="Arial"/>
          <w:szCs w:val="24"/>
        </w:rPr>
        <w:t>Evidence</w:t>
      </w:r>
      <w:r w:rsidR="004A4972">
        <w:rPr>
          <w:rFonts w:cs="Arial"/>
          <w:szCs w:val="24"/>
        </w:rPr>
        <w:t xml:space="preserve"> of personal injury, death and human rights violations </w:t>
      </w:r>
      <w:r w:rsidR="00923A14">
        <w:rPr>
          <w:rFonts w:cs="Arial"/>
          <w:szCs w:val="24"/>
        </w:rPr>
        <w:t>occurring</w:t>
      </w:r>
      <w:r w:rsidR="004A4972">
        <w:rPr>
          <w:rFonts w:cs="Arial"/>
          <w:szCs w:val="24"/>
        </w:rPr>
        <w:t xml:space="preserve"> during armed conflict can take years to come to light</w:t>
      </w:r>
      <w:r w:rsidR="007A6BFB">
        <w:rPr>
          <w:rStyle w:val="FootnoteReference"/>
          <w:rFonts w:cs="Arial"/>
          <w:szCs w:val="24"/>
        </w:rPr>
        <w:footnoteReference w:id="42"/>
      </w:r>
      <w:r w:rsidR="004A4972">
        <w:rPr>
          <w:rFonts w:cs="Arial"/>
          <w:szCs w:val="24"/>
        </w:rPr>
        <w:t xml:space="preserve"> and </w:t>
      </w:r>
      <w:r>
        <w:rPr>
          <w:rFonts w:cs="Arial"/>
          <w:szCs w:val="24"/>
        </w:rPr>
        <w:t xml:space="preserve">victims’ ability to launch civil claims can be impaired by factors outside of their control, such as prolonged periods of detention. </w:t>
      </w:r>
      <w:r w:rsidR="009E2AF9">
        <w:rPr>
          <w:rFonts w:cs="Arial"/>
          <w:szCs w:val="24"/>
        </w:rPr>
        <w:t xml:space="preserve">With these considerations in mind, the Commission’s view is that attempts to limit courts’ discretion </w:t>
      </w:r>
      <w:r w:rsidR="009E2AF9" w:rsidRPr="009E2AF9">
        <w:rPr>
          <w:rFonts w:cs="Arial"/>
          <w:szCs w:val="24"/>
        </w:rPr>
        <w:t>to determine whether to extend existing time limits for civil and human rights claims</w:t>
      </w:r>
      <w:r w:rsidR="009E2AF9">
        <w:rPr>
          <w:rFonts w:cs="Arial"/>
          <w:szCs w:val="24"/>
        </w:rPr>
        <w:t xml:space="preserve"> significantly impacts on victims’ right to a fair trial under Article 6 ECHR and their access to an effective remedy under Article 13 ECHR.</w:t>
      </w:r>
      <w:r w:rsidR="009E2AF9">
        <w:rPr>
          <w:rStyle w:val="FootnoteReference"/>
          <w:rFonts w:cs="Arial"/>
          <w:szCs w:val="24"/>
        </w:rPr>
        <w:footnoteReference w:id="43"/>
      </w:r>
    </w:p>
    <w:p w14:paraId="05E5B839" w14:textId="2E60FC33" w:rsidR="00923A14" w:rsidRDefault="00923A14" w:rsidP="00D02962">
      <w:pPr>
        <w:spacing w:line="360" w:lineRule="auto"/>
        <w:rPr>
          <w:rFonts w:cs="Arial"/>
          <w:szCs w:val="24"/>
        </w:rPr>
      </w:pPr>
    </w:p>
    <w:p w14:paraId="59B7F6CF" w14:textId="50AECEC7" w:rsidR="00923A14" w:rsidRDefault="00923A14" w:rsidP="00D02962">
      <w:pPr>
        <w:spacing w:line="360" w:lineRule="auto"/>
        <w:rPr>
          <w:rFonts w:cs="Arial"/>
          <w:szCs w:val="24"/>
        </w:rPr>
      </w:pPr>
      <w:r>
        <w:rPr>
          <w:rFonts w:cs="Arial"/>
          <w:szCs w:val="24"/>
        </w:rPr>
        <w:t xml:space="preserve">Claims for negligence and breaches of ECHR rights occurring during overseas operations are most regularly taken against the Ministry of Defence by service </w:t>
      </w:r>
      <w:r>
        <w:rPr>
          <w:rFonts w:cs="Arial"/>
          <w:szCs w:val="24"/>
        </w:rPr>
        <w:lastRenderedPageBreak/>
        <w:t>personnel themselves, or their next of kin.</w:t>
      </w:r>
      <w:r>
        <w:rPr>
          <w:rStyle w:val="FootnoteReference"/>
          <w:rFonts w:cs="Arial"/>
          <w:szCs w:val="24"/>
        </w:rPr>
        <w:footnoteReference w:id="44"/>
      </w:r>
      <w:r>
        <w:rPr>
          <w:rFonts w:cs="Arial"/>
          <w:szCs w:val="24"/>
        </w:rPr>
        <w:t xml:space="preserve"> </w:t>
      </w:r>
      <w:r w:rsidR="00A5457F">
        <w:rPr>
          <w:rFonts w:cs="Arial"/>
          <w:szCs w:val="24"/>
        </w:rPr>
        <w:t>In reality, t</w:t>
      </w:r>
      <w:r>
        <w:rPr>
          <w:rFonts w:cs="Arial"/>
          <w:szCs w:val="24"/>
        </w:rPr>
        <w:t>he six</w:t>
      </w:r>
      <w:r w:rsidR="002354D0">
        <w:rPr>
          <w:rFonts w:cs="Arial"/>
          <w:szCs w:val="24"/>
        </w:rPr>
        <w:t>-</w:t>
      </w:r>
      <w:r>
        <w:rPr>
          <w:rFonts w:cs="Arial"/>
          <w:szCs w:val="24"/>
        </w:rPr>
        <w:t>year limitation period proposed by the Bill would</w:t>
      </w:r>
      <w:r w:rsidR="00A5457F">
        <w:rPr>
          <w:rFonts w:cs="Arial"/>
          <w:szCs w:val="24"/>
        </w:rPr>
        <w:t xml:space="preserve"> therefore</w:t>
      </w:r>
      <w:r>
        <w:rPr>
          <w:rFonts w:cs="Arial"/>
          <w:szCs w:val="24"/>
        </w:rPr>
        <w:t xml:space="preserve"> </w:t>
      </w:r>
      <w:r w:rsidR="00130B79">
        <w:rPr>
          <w:rFonts w:cs="Arial"/>
          <w:szCs w:val="24"/>
        </w:rPr>
        <w:t xml:space="preserve">be </w:t>
      </w:r>
      <w:r>
        <w:rPr>
          <w:rFonts w:cs="Arial"/>
          <w:szCs w:val="24"/>
        </w:rPr>
        <w:t>likely</w:t>
      </w:r>
      <w:r w:rsidR="00130B79">
        <w:rPr>
          <w:rFonts w:cs="Arial"/>
          <w:szCs w:val="24"/>
        </w:rPr>
        <w:t xml:space="preserve"> to</w:t>
      </w:r>
      <w:r>
        <w:rPr>
          <w:rFonts w:cs="Arial"/>
          <w:szCs w:val="24"/>
        </w:rPr>
        <w:t xml:space="preserve"> hinder </w:t>
      </w:r>
      <w:r w:rsidR="00130B79">
        <w:rPr>
          <w:rFonts w:cs="Arial"/>
          <w:szCs w:val="24"/>
        </w:rPr>
        <w:t xml:space="preserve">the ability of </w:t>
      </w:r>
      <w:r>
        <w:rPr>
          <w:rFonts w:cs="Arial"/>
          <w:szCs w:val="24"/>
        </w:rPr>
        <w:t xml:space="preserve">service personnel and veterans to take legal action against their employer, particularly as </w:t>
      </w:r>
      <w:r w:rsidR="00130B79">
        <w:rPr>
          <w:rFonts w:cs="Arial"/>
          <w:szCs w:val="24"/>
        </w:rPr>
        <w:t>70</w:t>
      </w:r>
      <w:r w:rsidR="00130B79" w:rsidRPr="00923A14">
        <w:rPr>
          <w:rFonts w:cs="Arial"/>
          <w:szCs w:val="24"/>
        </w:rPr>
        <w:t xml:space="preserve"> </w:t>
      </w:r>
      <w:r w:rsidRPr="00923A14">
        <w:rPr>
          <w:rFonts w:cs="Arial"/>
          <w:szCs w:val="24"/>
        </w:rPr>
        <w:t>of 522 settled claims of this nature were taken more than six years after the cause of action</w:t>
      </w:r>
      <w:r>
        <w:rPr>
          <w:rFonts w:cs="Arial"/>
          <w:szCs w:val="24"/>
        </w:rPr>
        <w:t>.</w:t>
      </w:r>
      <w:r>
        <w:rPr>
          <w:rStyle w:val="FootnoteReference"/>
          <w:rFonts w:cs="Arial"/>
          <w:szCs w:val="24"/>
        </w:rPr>
        <w:footnoteReference w:id="45"/>
      </w:r>
      <w:r>
        <w:rPr>
          <w:rFonts w:cs="Arial"/>
          <w:szCs w:val="24"/>
        </w:rPr>
        <w:t xml:space="preserve"> This appears to </w:t>
      </w:r>
      <w:r w:rsidR="00130B79">
        <w:rPr>
          <w:rFonts w:cs="Arial"/>
          <w:szCs w:val="24"/>
        </w:rPr>
        <w:t xml:space="preserve">conflict with </w:t>
      </w:r>
      <w:r>
        <w:rPr>
          <w:rFonts w:cs="Arial"/>
          <w:szCs w:val="24"/>
        </w:rPr>
        <w:t xml:space="preserve">the </w:t>
      </w:r>
      <w:proofErr w:type="gramStart"/>
      <w:r>
        <w:rPr>
          <w:rFonts w:cs="Arial"/>
          <w:szCs w:val="24"/>
        </w:rPr>
        <w:t>Government’s</w:t>
      </w:r>
      <w:proofErr w:type="gramEnd"/>
      <w:r>
        <w:rPr>
          <w:rFonts w:cs="Arial"/>
          <w:szCs w:val="24"/>
        </w:rPr>
        <w:t xml:space="preserve"> stated purpose for the Bill, to provide ‘</w:t>
      </w:r>
      <w:r w:rsidRPr="00787AAF">
        <w:rPr>
          <w:rFonts w:cs="Arial"/>
          <w:szCs w:val="24"/>
        </w:rPr>
        <w:t>greater legal protections to armed forces personnel and veterans serving on military operations overseas</w:t>
      </w:r>
      <w:r>
        <w:rPr>
          <w:rFonts w:cs="Arial"/>
          <w:szCs w:val="24"/>
        </w:rPr>
        <w:t>’.</w:t>
      </w:r>
      <w:r>
        <w:rPr>
          <w:rStyle w:val="FootnoteReference"/>
          <w:rFonts w:cs="Arial"/>
          <w:szCs w:val="24"/>
        </w:rPr>
        <w:footnoteReference w:id="46"/>
      </w:r>
    </w:p>
    <w:p w14:paraId="5D3F89D9" w14:textId="77777777" w:rsidR="00D82D0C" w:rsidRDefault="00D82D0C" w:rsidP="00D02962">
      <w:pPr>
        <w:spacing w:line="360" w:lineRule="auto"/>
        <w:rPr>
          <w:rFonts w:cs="Arial"/>
          <w:szCs w:val="24"/>
        </w:rPr>
      </w:pPr>
    </w:p>
    <w:p w14:paraId="7658DB59" w14:textId="6825C0CA" w:rsidR="006724E1" w:rsidRDefault="00D82D0C" w:rsidP="00D82D0C">
      <w:pPr>
        <w:pStyle w:val="Heading3"/>
      </w:pPr>
      <w:bookmarkStart w:id="17" w:name="_Toc61857605"/>
      <w:r>
        <w:t>Remove clause 12</w:t>
      </w:r>
      <w:bookmarkEnd w:id="17"/>
    </w:p>
    <w:p w14:paraId="0B6203A4" w14:textId="77777777" w:rsidR="00D82D0C" w:rsidRPr="00D82D0C" w:rsidRDefault="00D82D0C" w:rsidP="00D82D0C"/>
    <w:p w14:paraId="2E73E580" w14:textId="773A7712" w:rsidR="003F4C6B" w:rsidRPr="0012503A" w:rsidRDefault="003F4C6B" w:rsidP="0012503A">
      <w:pPr>
        <w:pStyle w:val="ListParagraph"/>
        <w:numPr>
          <w:ilvl w:val="0"/>
          <w:numId w:val="32"/>
        </w:numPr>
        <w:spacing w:line="360" w:lineRule="auto"/>
        <w:rPr>
          <w:rFonts w:cs="Arial"/>
          <w:b/>
          <w:sz w:val="24"/>
          <w:szCs w:val="24"/>
        </w:rPr>
      </w:pPr>
      <w:r>
        <w:rPr>
          <w:rFonts w:cs="Arial"/>
          <w:b/>
          <w:sz w:val="24"/>
          <w:szCs w:val="24"/>
        </w:rPr>
        <w:t>R</w:t>
      </w:r>
      <w:r w:rsidRPr="003F4C6B">
        <w:rPr>
          <w:rFonts w:cs="Arial"/>
          <w:b/>
          <w:sz w:val="24"/>
          <w:szCs w:val="24"/>
        </w:rPr>
        <w:t>emove Clause 12, which imposes a duty on the Secretary of State to consider whether to make a derogation under Article 15(1) of the ECHR in relation to any ‘significant’ overseas operations.</w:t>
      </w:r>
      <w:r w:rsidR="006724E1">
        <w:rPr>
          <w:rFonts w:cs="Arial"/>
          <w:b/>
          <w:sz w:val="24"/>
          <w:szCs w:val="24"/>
        </w:rPr>
        <w:t xml:space="preserve"> </w:t>
      </w:r>
      <w:r w:rsidR="006724E1" w:rsidRPr="006724E1">
        <w:rPr>
          <w:rFonts w:cs="Arial"/>
          <w:b/>
          <w:bCs/>
          <w:sz w:val="24"/>
          <w:szCs w:val="24"/>
        </w:rPr>
        <w:t xml:space="preserve">At the very least, the Government should amend Clause 12 to require that future proposals to derogate from the ECHR in relation to overseas operations </w:t>
      </w:r>
      <w:proofErr w:type="gramStart"/>
      <w:r w:rsidR="006724E1" w:rsidRPr="006724E1">
        <w:rPr>
          <w:rFonts w:cs="Arial"/>
          <w:b/>
          <w:bCs/>
          <w:sz w:val="24"/>
          <w:szCs w:val="24"/>
        </w:rPr>
        <w:t>are</w:t>
      </w:r>
      <w:proofErr w:type="gramEnd"/>
      <w:r w:rsidR="006724E1" w:rsidRPr="006724E1">
        <w:rPr>
          <w:rFonts w:cs="Arial"/>
          <w:b/>
          <w:bCs/>
          <w:sz w:val="24"/>
          <w:szCs w:val="24"/>
        </w:rPr>
        <w:t xml:space="preserve"> put to a parliamentary vote for approval. </w:t>
      </w:r>
    </w:p>
    <w:p w14:paraId="23F7DECA" w14:textId="03F514E0" w:rsidR="000F53AC" w:rsidRDefault="0012503A" w:rsidP="00E413D5">
      <w:pPr>
        <w:spacing w:line="360" w:lineRule="auto"/>
        <w:rPr>
          <w:rFonts w:cs="Arial"/>
          <w:szCs w:val="28"/>
        </w:rPr>
      </w:pPr>
      <w:r>
        <w:rPr>
          <w:rFonts w:cs="Arial"/>
          <w:szCs w:val="28"/>
        </w:rPr>
        <w:t xml:space="preserve">If passed in its current form the Bill would further amend the HRA to place a duty on the Secretary of State to consider </w:t>
      </w:r>
      <w:r w:rsidR="006C1C5A">
        <w:rPr>
          <w:rFonts w:cs="Arial"/>
          <w:szCs w:val="28"/>
        </w:rPr>
        <w:t>whether it would be ‘appropriate’ to make</w:t>
      </w:r>
      <w:r w:rsidR="00E413D5">
        <w:rPr>
          <w:rFonts w:cs="Arial"/>
          <w:szCs w:val="28"/>
        </w:rPr>
        <w:t xml:space="preserve"> a derogation under</w:t>
      </w:r>
      <w:r>
        <w:rPr>
          <w:rFonts w:cs="Arial"/>
          <w:szCs w:val="28"/>
        </w:rPr>
        <w:t xml:space="preserve"> Article 15(1) </w:t>
      </w:r>
      <w:r w:rsidR="00E413D5">
        <w:rPr>
          <w:rFonts w:cs="Arial"/>
          <w:szCs w:val="28"/>
        </w:rPr>
        <w:t>of the EHCR in relat</w:t>
      </w:r>
      <w:r w:rsidR="006C1C5A">
        <w:rPr>
          <w:rFonts w:cs="Arial"/>
          <w:szCs w:val="28"/>
        </w:rPr>
        <w:t>ion to any overseas operations that</w:t>
      </w:r>
      <w:r w:rsidR="00E413D5">
        <w:rPr>
          <w:rFonts w:cs="Arial"/>
          <w:szCs w:val="28"/>
        </w:rPr>
        <w:t xml:space="preserve"> are or would be ‘significant’.</w:t>
      </w:r>
      <w:r w:rsidR="00E413D5">
        <w:rPr>
          <w:rStyle w:val="FootnoteReference"/>
          <w:rFonts w:cs="Arial"/>
          <w:szCs w:val="28"/>
        </w:rPr>
        <w:footnoteReference w:id="47"/>
      </w:r>
      <w:r w:rsidR="00E413D5">
        <w:rPr>
          <w:rFonts w:cs="Arial"/>
          <w:szCs w:val="28"/>
        </w:rPr>
        <w:t xml:space="preserve"> </w:t>
      </w:r>
      <w:r w:rsidR="006C1C5A">
        <w:rPr>
          <w:rFonts w:cs="Arial"/>
          <w:szCs w:val="28"/>
        </w:rPr>
        <w:t xml:space="preserve">The Bill does not </w:t>
      </w:r>
      <w:r w:rsidR="00E34B7A">
        <w:rPr>
          <w:rFonts w:cs="Arial"/>
          <w:szCs w:val="28"/>
        </w:rPr>
        <w:t>specify</w:t>
      </w:r>
      <w:r w:rsidR="006C1C5A">
        <w:rPr>
          <w:rFonts w:cs="Arial"/>
          <w:szCs w:val="28"/>
        </w:rPr>
        <w:t xml:space="preserve"> in what circumstances this clause </w:t>
      </w:r>
      <w:r w:rsidR="00A94B4E">
        <w:rPr>
          <w:rFonts w:cs="Arial"/>
          <w:szCs w:val="28"/>
        </w:rPr>
        <w:t>would apply</w:t>
      </w:r>
      <w:r w:rsidR="006C1C5A">
        <w:rPr>
          <w:rFonts w:cs="Arial"/>
          <w:szCs w:val="28"/>
        </w:rPr>
        <w:t xml:space="preserve">, nor does it define when such a derogation </w:t>
      </w:r>
      <w:proofErr w:type="gramStart"/>
      <w:r w:rsidR="006C1C5A">
        <w:rPr>
          <w:rFonts w:cs="Arial"/>
          <w:szCs w:val="28"/>
        </w:rPr>
        <w:t>would be considered</w:t>
      </w:r>
      <w:proofErr w:type="gramEnd"/>
      <w:r w:rsidR="006C1C5A">
        <w:rPr>
          <w:rFonts w:cs="Arial"/>
          <w:szCs w:val="28"/>
        </w:rPr>
        <w:t xml:space="preserve"> ‘appropriate’. </w:t>
      </w:r>
      <w:r w:rsidR="00A94B4E">
        <w:rPr>
          <w:rFonts w:cs="Arial"/>
          <w:szCs w:val="28"/>
        </w:rPr>
        <w:t>Importantly,</w:t>
      </w:r>
      <w:r w:rsidR="00E34B7A">
        <w:rPr>
          <w:rFonts w:cs="Arial"/>
          <w:szCs w:val="28"/>
        </w:rPr>
        <w:t xml:space="preserve"> derogations under Article 15 ECHR </w:t>
      </w:r>
      <w:r w:rsidR="00080F63">
        <w:rPr>
          <w:rFonts w:cs="Arial"/>
          <w:szCs w:val="28"/>
        </w:rPr>
        <w:t xml:space="preserve">must align with the </w:t>
      </w:r>
      <w:proofErr w:type="spellStart"/>
      <w:r w:rsidR="00080F63">
        <w:rPr>
          <w:rFonts w:cs="Arial"/>
          <w:szCs w:val="28"/>
        </w:rPr>
        <w:t>ECtHR’s</w:t>
      </w:r>
      <w:proofErr w:type="spellEnd"/>
      <w:r w:rsidR="00080F63">
        <w:rPr>
          <w:rFonts w:cs="Arial"/>
          <w:szCs w:val="28"/>
        </w:rPr>
        <w:t xml:space="preserve"> proportionality test, namely that the measures </w:t>
      </w:r>
      <w:r w:rsidR="00C4740A">
        <w:rPr>
          <w:rFonts w:cs="Arial"/>
          <w:szCs w:val="28"/>
        </w:rPr>
        <w:t xml:space="preserve">are </w:t>
      </w:r>
      <w:r w:rsidR="00130B79" w:rsidRPr="000860A3">
        <w:rPr>
          <w:rFonts w:cs="Arial"/>
          <w:szCs w:val="24"/>
        </w:rPr>
        <w:t>‘</w:t>
      </w:r>
      <w:r w:rsidR="00080F63" w:rsidRPr="000860A3">
        <w:rPr>
          <w:rFonts w:cs="Arial"/>
          <w:iCs/>
          <w:szCs w:val="24"/>
        </w:rPr>
        <w:t xml:space="preserve">a genuine response to the </w:t>
      </w:r>
      <w:proofErr w:type="gramStart"/>
      <w:r w:rsidR="00080F63" w:rsidRPr="000860A3">
        <w:rPr>
          <w:rFonts w:cs="Arial"/>
          <w:iCs/>
          <w:szCs w:val="24"/>
        </w:rPr>
        <w:t>emergency situation</w:t>
      </w:r>
      <w:proofErr w:type="gramEnd"/>
      <w:r w:rsidR="00080F63" w:rsidRPr="000860A3">
        <w:rPr>
          <w:rFonts w:cs="Arial"/>
          <w:iCs/>
          <w:szCs w:val="24"/>
        </w:rPr>
        <w:t xml:space="preserve"> ... and fully justified by the special circumstances … and that adequate safeguards were provided against abuse</w:t>
      </w:r>
      <w:r w:rsidR="00080F63" w:rsidRPr="000860A3">
        <w:rPr>
          <w:rFonts w:cs="Arial"/>
          <w:szCs w:val="24"/>
        </w:rPr>
        <w:t>.</w:t>
      </w:r>
      <w:r w:rsidR="00130B79" w:rsidRPr="000860A3">
        <w:rPr>
          <w:rFonts w:cs="Arial"/>
          <w:szCs w:val="24"/>
        </w:rPr>
        <w:t>’</w:t>
      </w:r>
      <w:r w:rsidR="00080F63">
        <w:rPr>
          <w:rStyle w:val="FootnoteReference"/>
          <w:rFonts w:cs="Arial"/>
          <w:szCs w:val="24"/>
        </w:rPr>
        <w:footnoteReference w:id="48"/>
      </w:r>
      <w:r w:rsidR="00B56626">
        <w:rPr>
          <w:rFonts w:cs="Arial"/>
          <w:szCs w:val="28"/>
        </w:rPr>
        <w:t xml:space="preserve"> </w:t>
      </w:r>
      <w:r w:rsidR="00C04B13">
        <w:rPr>
          <w:rFonts w:cs="Arial"/>
          <w:szCs w:val="28"/>
        </w:rPr>
        <w:t>D</w:t>
      </w:r>
      <w:r w:rsidR="00B56626">
        <w:rPr>
          <w:rFonts w:cs="Arial"/>
          <w:szCs w:val="28"/>
        </w:rPr>
        <w:t xml:space="preserve">erogations under Article 15 ECHR </w:t>
      </w:r>
      <w:r w:rsidR="00E34B7A">
        <w:rPr>
          <w:rFonts w:cs="Arial"/>
          <w:szCs w:val="28"/>
        </w:rPr>
        <w:t>do not apply to</w:t>
      </w:r>
      <w:r w:rsidR="00A94B4E">
        <w:rPr>
          <w:rFonts w:cs="Arial"/>
          <w:szCs w:val="28"/>
        </w:rPr>
        <w:t xml:space="preserve"> the right to life under Article 2 </w:t>
      </w:r>
      <w:r w:rsidR="00E34B7A">
        <w:rPr>
          <w:rFonts w:cs="Arial"/>
          <w:szCs w:val="28"/>
        </w:rPr>
        <w:t>or</w:t>
      </w:r>
      <w:r w:rsidR="00A94B4E">
        <w:rPr>
          <w:rFonts w:cs="Arial"/>
          <w:szCs w:val="28"/>
        </w:rPr>
        <w:t xml:space="preserve"> the prohibition of torture under Articl</w:t>
      </w:r>
      <w:r w:rsidR="00E34B7A">
        <w:rPr>
          <w:rFonts w:cs="Arial"/>
          <w:szCs w:val="28"/>
        </w:rPr>
        <w:t xml:space="preserve">e 3, and so any action from the Government </w:t>
      </w:r>
      <w:r w:rsidR="00E34B7A">
        <w:rPr>
          <w:rFonts w:cs="Arial"/>
          <w:szCs w:val="28"/>
        </w:rPr>
        <w:lastRenderedPageBreak/>
        <w:t>under Clause 12 of the Bill would not absolve it of its responsibility to investigate breaches of these rights by armed forces operating overseas.</w:t>
      </w:r>
      <w:r w:rsidR="00E34B7A">
        <w:rPr>
          <w:rStyle w:val="FootnoteReference"/>
          <w:rFonts w:cs="Arial"/>
          <w:szCs w:val="28"/>
        </w:rPr>
        <w:footnoteReference w:id="49"/>
      </w:r>
    </w:p>
    <w:p w14:paraId="14DE0308" w14:textId="77777777" w:rsidR="00E34B7A" w:rsidRDefault="00E34B7A" w:rsidP="00E413D5">
      <w:pPr>
        <w:spacing w:line="360" w:lineRule="auto"/>
        <w:rPr>
          <w:rFonts w:cs="Arial"/>
          <w:szCs w:val="28"/>
        </w:rPr>
      </w:pPr>
    </w:p>
    <w:p w14:paraId="26CD087A" w14:textId="04A57FB1" w:rsidR="002822F7" w:rsidRDefault="00B56626" w:rsidP="002C29BE">
      <w:pPr>
        <w:spacing w:line="360" w:lineRule="auto"/>
        <w:rPr>
          <w:rFonts w:cs="Arial"/>
          <w:szCs w:val="28"/>
        </w:rPr>
      </w:pPr>
      <w:r>
        <w:rPr>
          <w:rFonts w:cs="Arial"/>
          <w:szCs w:val="28"/>
        </w:rPr>
        <w:t>No</w:t>
      </w:r>
      <w:r w:rsidR="00E34B7A">
        <w:rPr>
          <w:rFonts w:cs="Arial"/>
          <w:szCs w:val="28"/>
        </w:rPr>
        <w:t xml:space="preserve"> Member State of the Council of Europe has previously derogated from the ECHR in the manner proposed by Clause 12. Given the UK’s standing and influence in the Council of Europe, there is a risk that if Clause 12 remains in the Bill and is acted on in the future it could set a dangerous precedent, which may be followed by other member states </w:t>
      </w:r>
      <w:r w:rsidR="002822F7">
        <w:rPr>
          <w:rFonts w:cs="Arial"/>
          <w:szCs w:val="28"/>
        </w:rPr>
        <w:t>– in particular those with poorer human rights records than the UK’s – in relation to future conflicts.</w:t>
      </w:r>
    </w:p>
    <w:p w14:paraId="25B16867" w14:textId="77777777" w:rsidR="002822F7" w:rsidRDefault="002822F7" w:rsidP="002C29BE">
      <w:pPr>
        <w:spacing w:line="360" w:lineRule="auto"/>
        <w:rPr>
          <w:rFonts w:cs="Arial"/>
          <w:szCs w:val="28"/>
        </w:rPr>
      </w:pPr>
    </w:p>
    <w:p w14:paraId="0CB8B4B7" w14:textId="18DF729F" w:rsidR="00C04B13" w:rsidRPr="00DD3D0F" w:rsidRDefault="00C04B13" w:rsidP="002C29BE">
      <w:pPr>
        <w:spacing w:line="360" w:lineRule="auto"/>
        <w:rPr>
          <w:rFonts w:cs="Arial"/>
          <w:szCs w:val="28"/>
        </w:rPr>
      </w:pPr>
      <w:r>
        <w:rPr>
          <w:rFonts w:cs="Arial"/>
          <w:szCs w:val="28"/>
        </w:rPr>
        <w:t>As such, t</w:t>
      </w:r>
      <w:r w:rsidR="00B56626">
        <w:rPr>
          <w:rFonts w:cs="Arial"/>
          <w:szCs w:val="28"/>
        </w:rPr>
        <w:t xml:space="preserve">he Commission is of the view that Clause 12 should be removed from the Bill in order to protect the human rights framework in the </w:t>
      </w:r>
      <w:proofErr w:type="gramStart"/>
      <w:r w:rsidR="00B56626">
        <w:rPr>
          <w:rFonts w:cs="Arial"/>
          <w:szCs w:val="28"/>
        </w:rPr>
        <w:t>UK,</w:t>
      </w:r>
      <w:proofErr w:type="gramEnd"/>
      <w:r w:rsidR="00B56626">
        <w:rPr>
          <w:rFonts w:cs="Arial"/>
          <w:szCs w:val="28"/>
        </w:rPr>
        <w:t xml:space="preserve"> and to avoid a negative impact on </w:t>
      </w:r>
      <w:r w:rsidR="001171A0">
        <w:rPr>
          <w:rFonts w:cs="Arial"/>
          <w:szCs w:val="28"/>
        </w:rPr>
        <w:t xml:space="preserve">the </w:t>
      </w:r>
      <w:r w:rsidR="00B56626">
        <w:rPr>
          <w:rFonts w:cs="Arial"/>
          <w:szCs w:val="28"/>
        </w:rPr>
        <w:t xml:space="preserve">collective respect for and enforcement of </w:t>
      </w:r>
      <w:r w:rsidR="00182FC4">
        <w:rPr>
          <w:rFonts w:cs="Arial"/>
          <w:szCs w:val="28"/>
        </w:rPr>
        <w:t xml:space="preserve">human </w:t>
      </w:r>
      <w:r w:rsidR="00B56626">
        <w:rPr>
          <w:rFonts w:cs="Arial"/>
          <w:szCs w:val="28"/>
        </w:rPr>
        <w:t xml:space="preserve">rights by Council of Europe </w:t>
      </w:r>
      <w:r w:rsidR="002354D0">
        <w:rPr>
          <w:rFonts w:cs="Arial"/>
          <w:szCs w:val="28"/>
        </w:rPr>
        <w:t>M</w:t>
      </w:r>
      <w:r w:rsidR="00B56626">
        <w:rPr>
          <w:rFonts w:cs="Arial"/>
          <w:szCs w:val="28"/>
        </w:rPr>
        <w:t xml:space="preserve">ember </w:t>
      </w:r>
      <w:r w:rsidR="002354D0">
        <w:rPr>
          <w:rFonts w:cs="Arial"/>
          <w:szCs w:val="28"/>
        </w:rPr>
        <w:t>S</w:t>
      </w:r>
      <w:r w:rsidR="00B56626">
        <w:rPr>
          <w:rFonts w:cs="Arial"/>
          <w:szCs w:val="28"/>
        </w:rPr>
        <w:t xml:space="preserve">tates. If Clause 12 stands, </w:t>
      </w:r>
      <w:r w:rsidR="00B15590">
        <w:rPr>
          <w:rFonts w:cs="Arial"/>
          <w:szCs w:val="28"/>
        </w:rPr>
        <w:t xml:space="preserve">it </w:t>
      </w:r>
      <w:proofErr w:type="gramStart"/>
      <w:r w:rsidR="00B15590">
        <w:rPr>
          <w:rFonts w:cs="Arial"/>
          <w:szCs w:val="28"/>
        </w:rPr>
        <w:t>should be amended</w:t>
      </w:r>
      <w:proofErr w:type="gramEnd"/>
      <w:r w:rsidR="00B15590">
        <w:rPr>
          <w:rFonts w:cs="Arial"/>
          <w:szCs w:val="28"/>
        </w:rPr>
        <w:t xml:space="preserve"> to require a parliamentary debate and vote in both Houses before any future decision to derogate from the ECHR in relation to overseas operations. </w:t>
      </w:r>
    </w:p>
    <w:p w14:paraId="48F70F05" w14:textId="77777777" w:rsidR="00D82D0C" w:rsidRDefault="00D82D0C">
      <w:pPr>
        <w:spacing w:after="160" w:line="259" w:lineRule="auto"/>
        <w:rPr>
          <w:b/>
          <w:bCs/>
          <w:sz w:val="28"/>
          <w:szCs w:val="26"/>
        </w:rPr>
      </w:pPr>
      <w:bookmarkStart w:id="18" w:name="_Toc36554492"/>
      <w:r>
        <w:br w:type="page"/>
      </w:r>
    </w:p>
    <w:p w14:paraId="033FB9AF" w14:textId="23F6AA7C" w:rsidR="00005749" w:rsidRPr="00DD3D0F" w:rsidRDefault="00005749" w:rsidP="00DD3D0F">
      <w:pPr>
        <w:pStyle w:val="level2section"/>
        <w:rPr>
          <w:rFonts w:eastAsia="Calibri"/>
        </w:rPr>
      </w:pPr>
      <w:bookmarkStart w:id="19" w:name="_Toc61857606"/>
      <w:r w:rsidRPr="00DD3D0F">
        <w:rPr>
          <w:rFonts w:eastAsia="Calibri"/>
        </w:rPr>
        <w:lastRenderedPageBreak/>
        <w:t>Further information</w:t>
      </w:r>
      <w:bookmarkEnd w:id="18"/>
      <w:bookmarkEnd w:id="19"/>
    </w:p>
    <w:p w14:paraId="3EC30DE5" w14:textId="77777777" w:rsidR="00005749" w:rsidRDefault="00005749" w:rsidP="00DD3D0F">
      <w:pPr>
        <w:rPr>
          <w:b/>
          <w:bCs/>
        </w:rPr>
      </w:pPr>
      <w:r w:rsidRPr="00DD3D0F">
        <w:t xml:space="preserve">The Equality and Human Rights Commission is a statutory body established under the Equality Act 2006. Find out more about </w:t>
      </w:r>
      <w:r w:rsidR="00593772">
        <w:t>our</w:t>
      </w:r>
      <w:r w:rsidRPr="00DD3D0F">
        <w:t xml:space="preserve"> work </w:t>
      </w:r>
      <w:r w:rsidR="00F35CA1" w:rsidRPr="00DD3D0F">
        <w:t xml:space="preserve">on </w:t>
      </w:r>
      <w:r w:rsidR="00593772">
        <w:t>the</w:t>
      </w:r>
      <w:r w:rsidR="00F35CA1" w:rsidRPr="00DD3D0F">
        <w:rPr>
          <w:sz w:val="28"/>
        </w:rPr>
        <w:t xml:space="preserve"> </w:t>
      </w:r>
      <w:hyperlink r:id="rId12" w:history="1">
        <w:r w:rsidR="00593772" w:rsidRPr="00593772">
          <w:rPr>
            <w:rStyle w:val="Hyperlink"/>
            <w:color w:val="0B4E60"/>
          </w:rPr>
          <w:t>Equality and Human Rights Com</w:t>
        </w:r>
        <w:r w:rsidR="00593772" w:rsidRPr="00740F05">
          <w:rPr>
            <w:rStyle w:val="Hyperlink"/>
            <w:color w:val="0B4E60"/>
          </w:rPr>
          <w:t>miss</w:t>
        </w:r>
        <w:r w:rsidR="00593772" w:rsidRPr="00593772">
          <w:rPr>
            <w:rStyle w:val="Hyperlink"/>
            <w:color w:val="0B4E60"/>
          </w:rPr>
          <w:t>ion w</w:t>
        </w:r>
        <w:r w:rsidR="00F35CA1" w:rsidRPr="00593772">
          <w:rPr>
            <w:rStyle w:val="Hyperlink"/>
            <w:color w:val="0B4E60"/>
          </w:rPr>
          <w:t>ebsite</w:t>
        </w:r>
      </w:hyperlink>
      <w:r w:rsidR="00F35CA1" w:rsidRPr="00DD3D0F">
        <w:rPr>
          <w:b/>
          <w:bCs/>
        </w:rPr>
        <w:t>.</w:t>
      </w:r>
    </w:p>
    <w:p w14:paraId="5BF8E12F" w14:textId="77777777" w:rsidR="00593772" w:rsidRPr="00DD3D0F" w:rsidRDefault="00593772" w:rsidP="00DD3D0F">
      <w:pPr>
        <w:rPr>
          <w:b/>
          <w:bCs/>
          <w:sz w:val="28"/>
        </w:rPr>
      </w:pPr>
    </w:p>
    <w:p w14:paraId="75E3B47E" w14:textId="77777777" w:rsidR="00005749" w:rsidRPr="00DD3D0F" w:rsidRDefault="00005749" w:rsidP="00DD3D0F">
      <w:r w:rsidRPr="00DD3D0F">
        <w:t xml:space="preserve">For more information, please contact: </w:t>
      </w:r>
    </w:p>
    <w:p w14:paraId="3B903F9C" w14:textId="77777777" w:rsidR="00DD3D0F" w:rsidRPr="00DD3D0F" w:rsidRDefault="00DD3D0F" w:rsidP="00DD3D0F">
      <w:pPr>
        <w:rPr>
          <w:b/>
          <w:bCs/>
        </w:rPr>
      </w:pPr>
    </w:p>
    <w:p w14:paraId="27E504A3" w14:textId="663B4F5D" w:rsidR="005E166B" w:rsidRDefault="00740F05" w:rsidP="00DD3D0F">
      <w:r>
        <w:rPr>
          <w:b/>
        </w:rPr>
        <w:t>Policy lead</w:t>
      </w:r>
      <w:r w:rsidR="00005749" w:rsidRPr="00DD3D0F">
        <w:br/>
      </w:r>
      <w:r w:rsidR="00D1095F">
        <w:t>Rachel Borrell</w:t>
      </w:r>
      <w:r w:rsidR="005E166B">
        <w:t xml:space="preserve">, </w:t>
      </w:r>
      <w:r>
        <w:t>Senior Associate</w:t>
      </w:r>
      <w:r w:rsidR="00406F67">
        <w:t xml:space="preserve">, Policy </w:t>
      </w:r>
      <w:r w:rsidR="005E166B">
        <w:t xml:space="preserve"> </w:t>
      </w:r>
    </w:p>
    <w:p w14:paraId="17EFA733" w14:textId="0AB9A637" w:rsidR="005E166B" w:rsidRDefault="00D82D0C" w:rsidP="00DD3D0F">
      <w:hyperlink r:id="rId13" w:history="1">
        <w:r w:rsidR="00D1095F" w:rsidRPr="0064617F">
          <w:rPr>
            <w:rStyle w:val="Hyperlink"/>
          </w:rPr>
          <w:t>Rachel.Borrell@equalityhumanrights.com</w:t>
        </w:r>
      </w:hyperlink>
      <w:r w:rsidR="00740F05">
        <w:t xml:space="preserve"> </w:t>
      </w:r>
    </w:p>
    <w:bookmarkEnd w:id="12"/>
    <w:p w14:paraId="647EF7A5" w14:textId="4A73ECFA" w:rsidR="005E166B" w:rsidRDefault="004A0743" w:rsidP="0059317E">
      <w:pPr>
        <w:spacing w:after="160" w:line="259" w:lineRule="auto"/>
        <w:rPr>
          <w:bCs/>
        </w:rPr>
      </w:pPr>
      <w:r w:rsidRPr="004A0743">
        <w:rPr>
          <w:bCs/>
        </w:rPr>
        <w:t>0141 228 5929</w:t>
      </w:r>
    </w:p>
    <w:p w14:paraId="07F13812" w14:textId="77777777" w:rsidR="00F12831" w:rsidRPr="006E6195" w:rsidRDefault="00F12831" w:rsidP="00F12831">
      <w:pPr>
        <w:rPr>
          <w:b/>
        </w:rPr>
      </w:pPr>
      <w:r w:rsidRPr="006E6195">
        <w:rPr>
          <w:b/>
        </w:rPr>
        <w:t xml:space="preserve">Legal lead: </w:t>
      </w:r>
    </w:p>
    <w:p w14:paraId="5504BFEC" w14:textId="33BB2B1F" w:rsidR="00F12831" w:rsidRPr="006E6195" w:rsidRDefault="00F12831" w:rsidP="006E6195">
      <w:r w:rsidRPr="006E6195">
        <w:t>Cameron-Wong McDermott, Solicitor</w:t>
      </w:r>
    </w:p>
    <w:p w14:paraId="3243B579" w14:textId="22104083" w:rsidR="00F12831" w:rsidRPr="006E6195" w:rsidRDefault="00D82D0C" w:rsidP="006E6195">
      <w:pPr>
        <w:rPr>
          <w:rStyle w:val="Hyperlink"/>
        </w:rPr>
      </w:pPr>
      <w:hyperlink r:id="rId14" w:history="1">
        <w:r w:rsidR="00F12831" w:rsidRPr="006E6195">
          <w:rPr>
            <w:rStyle w:val="Hyperlink"/>
          </w:rPr>
          <w:t>Cameron-Wong.McDermott@equalityhumanrights.com</w:t>
        </w:r>
      </w:hyperlink>
      <w:r w:rsidR="006E6195" w:rsidRPr="006E6195">
        <w:rPr>
          <w:rStyle w:val="Hyperlink"/>
        </w:rPr>
        <w:t xml:space="preserve"> </w:t>
      </w:r>
    </w:p>
    <w:p w14:paraId="6A95BCA5" w14:textId="77777777" w:rsidR="00F12831" w:rsidRPr="006E6195" w:rsidRDefault="00F12831" w:rsidP="006E6195">
      <w:r w:rsidRPr="006E6195">
        <w:t>0141 228 5926 </w:t>
      </w:r>
    </w:p>
    <w:p w14:paraId="52E37DA0" w14:textId="3886016B" w:rsidR="00406F67" w:rsidRPr="00406F67" w:rsidRDefault="00406F67" w:rsidP="00F12831"/>
    <w:sectPr w:rsidR="00406F67" w:rsidRPr="00406F67" w:rsidSect="00A632F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092C" w14:textId="77777777" w:rsidR="006F794C" w:rsidRDefault="006F794C">
      <w:pPr>
        <w:spacing w:line="240" w:lineRule="auto"/>
      </w:pPr>
      <w:r>
        <w:separator/>
      </w:r>
    </w:p>
  </w:endnote>
  <w:endnote w:type="continuationSeparator" w:id="0">
    <w:p w14:paraId="762ACC66" w14:textId="77777777" w:rsidR="006F794C" w:rsidRDefault="006F7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1E20" w14:textId="77777777" w:rsidR="00923A14" w:rsidRPr="00A753C4" w:rsidRDefault="00923A14">
    <w:pPr>
      <w:jc w:val="center"/>
    </w:pPr>
  </w:p>
  <w:p w14:paraId="66316B18" w14:textId="77777777" w:rsidR="00923A14" w:rsidRDefault="00923A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81670"/>
      <w:docPartObj>
        <w:docPartGallery w:val="Page Numbers (Bottom of Page)"/>
        <w:docPartUnique/>
      </w:docPartObj>
    </w:sdtPr>
    <w:sdtEndPr>
      <w:rPr>
        <w:rFonts w:ascii="Arial" w:hAnsi="Arial" w:cs="Arial"/>
        <w:noProof/>
        <w:sz w:val="24"/>
        <w:szCs w:val="24"/>
      </w:rPr>
    </w:sdtEndPr>
    <w:sdtContent>
      <w:p w14:paraId="70A8378A" w14:textId="24E43BEE" w:rsidR="00923A14" w:rsidRPr="00A632FC" w:rsidRDefault="00923A14">
        <w:pPr>
          <w:pStyle w:val="Footer"/>
          <w:jc w:val="right"/>
          <w:rPr>
            <w:rFonts w:ascii="Arial" w:hAnsi="Arial" w:cs="Arial"/>
            <w:sz w:val="24"/>
            <w:szCs w:val="24"/>
          </w:rPr>
        </w:pPr>
        <w:r w:rsidRPr="00A632FC">
          <w:rPr>
            <w:rFonts w:ascii="Arial" w:hAnsi="Arial" w:cs="Arial"/>
            <w:sz w:val="24"/>
            <w:szCs w:val="24"/>
          </w:rPr>
          <w:fldChar w:fldCharType="begin"/>
        </w:r>
        <w:r w:rsidRPr="00A632FC">
          <w:rPr>
            <w:rFonts w:ascii="Arial" w:hAnsi="Arial" w:cs="Arial"/>
            <w:sz w:val="24"/>
            <w:szCs w:val="24"/>
          </w:rPr>
          <w:instrText xml:space="preserve"> PAGE   \* MERGEFORMAT </w:instrText>
        </w:r>
        <w:r w:rsidRPr="00A632FC">
          <w:rPr>
            <w:rFonts w:ascii="Arial" w:hAnsi="Arial" w:cs="Arial"/>
            <w:sz w:val="24"/>
            <w:szCs w:val="24"/>
          </w:rPr>
          <w:fldChar w:fldCharType="separate"/>
        </w:r>
        <w:r w:rsidR="00D82D0C">
          <w:rPr>
            <w:rFonts w:ascii="Arial" w:hAnsi="Arial" w:cs="Arial"/>
            <w:noProof/>
            <w:sz w:val="24"/>
            <w:szCs w:val="24"/>
          </w:rPr>
          <w:t>13</w:t>
        </w:r>
        <w:r w:rsidRPr="00A632FC">
          <w:rPr>
            <w:rFonts w:ascii="Arial" w:hAnsi="Arial" w:cs="Arial"/>
            <w:noProof/>
            <w:sz w:val="24"/>
            <w:szCs w:val="24"/>
          </w:rPr>
          <w:fldChar w:fldCharType="end"/>
        </w:r>
      </w:p>
    </w:sdtContent>
  </w:sdt>
  <w:p w14:paraId="00679555" w14:textId="77777777" w:rsidR="00923A14" w:rsidRDefault="00923A14"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90771"/>
      <w:docPartObj>
        <w:docPartGallery w:val="Page Numbers (Bottom of Page)"/>
        <w:docPartUnique/>
      </w:docPartObj>
    </w:sdtPr>
    <w:sdtEndPr>
      <w:rPr>
        <w:noProof/>
      </w:rPr>
    </w:sdtEndPr>
    <w:sdtContent>
      <w:p w14:paraId="7E4A849B" w14:textId="496BD8E0" w:rsidR="00923A14" w:rsidRDefault="00923A14">
        <w:pPr>
          <w:pStyle w:val="Footer"/>
          <w:jc w:val="right"/>
        </w:pPr>
        <w:r w:rsidRPr="00A632FC">
          <w:rPr>
            <w:rFonts w:ascii="Arial" w:hAnsi="Arial" w:cs="Arial"/>
            <w:sz w:val="24"/>
            <w:szCs w:val="24"/>
          </w:rPr>
          <w:fldChar w:fldCharType="begin"/>
        </w:r>
        <w:r w:rsidRPr="00A632FC">
          <w:rPr>
            <w:rFonts w:ascii="Arial" w:hAnsi="Arial" w:cs="Arial"/>
            <w:sz w:val="24"/>
            <w:szCs w:val="24"/>
          </w:rPr>
          <w:instrText xml:space="preserve"> PAGE   \* MERGEFORMAT </w:instrText>
        </w:r>
        <w:r w:rsidRPr="00A632FC">
          <w:rPr>
            <w:rFonts w:ascii="Arial" w:hAnsi="Arial" w:cs="Arial"/>
            <w:sz w:val="24"/>
            <w:szCs w:val="24"/>
          </w:rPr>
          <w:fldChar w:fldCharType="separate"/>
        </w:r>
        <w:r w:rsidR="00D82D0C">
          <w:rPr>
            <w:rFonts w:ascii="Arial" w:hAnsi="Arial" w:cs="Arial"/>
            <w:noProof/>
            <w:sz w:val="24"/>
            <w:szCs w:val="24"/>
          </w:rPr>
          <w:t>1</w:t>
        </w:r>
        <w:r w:rsidRPr="00A632FC">
          <w:rPr>
            <w:rFonts w:ascii="Arial" w:hAnsi="Arial" w:cs="Arial"/>
            <w:noProof/>
            <w:sz w:val="24"/>
            <w:szCs w:val="24"/>
          </w:rPr>
          <w:fldChar w:fldCharType="end"/>
        </w:r>
      </w:p>
    </w:sdtContent>
  </w:sdt>
  <w:p w14:paraId="0BCE2F57" w14:textId="77777777" w:rsidR="00923A14" w:rsidRDefault="00923A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90E1" w14:textId="77777777" w:rsidR="006F794C" w:rsidRDefault="006F794C">
      <w:pPr>
        <w:spacing w:line="240" w:lineRule="auto"/>
      </w:pPr>
      <w:r>
        <w:separator/>
      </w:r>
    </w:p>
  </w:footnote>
  <w:footnote w:type="continuationSeparator" w:id="0">
    <w:p w14:paraId="665938D0" w14:textId="77777777" w:rsidR="006F794C" w:rsidRDefault="006F794C">
      <w:pPr>
        <w:spacing w:line="240" w:lineRule="auto"/>
      </w:pPr>
      <w:r>
        <w:continuationSeparator/>
      </w:r>
    </w:p>
  </w:footnote>
  <w:footnote w:id="1">
    <w:p w14:paraId="6AA1A82E" w14:textId="1ED80FB5"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hyperlink r:id="rId1" w:history="1">
        <w:r w:rsidRPr="00790877">
          <w:rPr>
            <w:rStyle w:val="Hyperlink"/>
            <w:rFonts w:cs="Arial"/>
            <w:sz w:val="18"/>
            <w:szCs w:val="18"/>
          </w:rPr>
          <w:t>Overseas Operations (Service Personnel and Veterans) Bill (HC Bill 117)</w:t>
        </w:r>
      </w:hyperlink>
      <w:r w:rsidR="00726811">
        <w:rPr>
          <w:rFonts w:cs="Arial"/>
          <w:sz w:val="18"/>
          <w:szCs w:val="18"/>
        </w:rPr>
        <w:t>.</w:t>
      </w:r>
    </w:p>
  </w:footnote>
  <w:footnote w:id="2">
    <w:p w14:paraId="1258B777" w14:textId="0159A13F"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hyperlink r:id="rId2" w:history="1">
        <w:r w:rsidRPr="00790877">
          <w:rPr>
            <w:rStyle w:val="Hyperlink"/>
            <w:rFonts w:cs="Arial"/>
            <w:sz w:val="18"/>
            <w:szCs w:val="18"/>
          </w:rPr>
          <w:t>Overseas Operations (Service Personnel and Veterans) Bill (HC Bill 117)</w:t>
        </w:r>
      </w:hyperlink>
      <w:r w:rsidRPr="00790877">
        <w:rPr>
          <w:rFonts w:cs="Arial"/>
          <w:sz w:val="18"/>
          <w:szCs w:val="18"/>
        </w:rPr>
        <w:t>, Clause 1(4) and 2. The Bill halves the time limitation on prosecution from the previously proposed ten years, see: Ministry of Defence (2019), ‘</w:t>
      </w:r>
      <w:hyperlink r:id="rId3" w:history="1">
        <w:r w:rsidRPr="00790877">
          <w:rPr>
            <w:rStyle w:val="Hyperlink"/>
            <w:rFonts w:cs="Arial"/>
            <w:sz w:val="18"/>
            <w:szCs w:val="18"/>
          </w:rPr>
          <w:t>Legal protections for armed forces personnel and veterans serving in operations outside the United Kingdom</w:t>
        </w:r>
      </w:hyperlink>
      <w:r w:rsidRPr="00790877">
        <w:rPr>
          <w:rFonts w:cs="Arial"/>
          <w:sz w:val="18"/>
          <w:szCs w:val="18"/>
        </w:rPr>
        <w:t xml:space="preserve">’ [accessed </w:t>
      </w:r>
      <w:r w:rsidR="00726811">
        <w:rPr>
          <w:rFonts w:cs="Arial"/>
          <w:sz w:val="18"/>
          <w:szCs w:val="18"/>
        </w:rPr>
        <w:t>11 January 2021</w:t>
      </w:r>
      <w:r w:rsidRPr="00790877">
        <w:rPr>
          <w:rFonts w:cs="Arial"/>
          <w:sz w:val="18"/>
          <w:szCs w:val="18"/>
        </w:rPr>
        <w:t>].</w:t>
      </w:r>
    </w:p>
  </w:footnote>
  <w:footnote w:id="3">
    <w:p w14:paraId="64AAB512" w14:textId="292505AE"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hyperlink r:id="rId4" w:history="1">
        <w:r w:rsidRPr="00790877">
          <w:rPr>
            <w:rStyle w:val="Hyperlink"/>
            <w:rFonts w:cs="Arial"/>
            <w:sz w:val="18"/>
            <w:szCs w:val="18"/>
          </w:rPr>
          <w:t>Overseas Operations (Service Personnel and Veterans) Bill (HC Bill 117)</w:t>
        </w:r>
      </w:hyperlink>
      <w:r w:rsidRPr="00790877">
        <w:rPr>
          <w:rFonts w:cs="Arial"/>
          <w:sz w:val="18"/>
          <w:szCs w:val="18"/>
        </w:rPr>
        <w:t>, Schedule</w:t>
      </w:r>
      <w:r w:rsidR="00F4516F">
        <w:rPr>
          <w:rFonts w:cs="Arial"/>
          <w:sz w:val="18"/>
          <w:szCs w:val="18"/>
        </w:rPr>
        <w:t>s</w:t>
      </w:r>
      <w:r w:rsidRPr="00790877">
        <w:rPr>
          <w:rFonts w:cs="Arial"/>
          <w:sz w:val="18"/>
          <w:szCs w:val="18"/>
        </w:rPr>
        <w:t xml:space="preserve"> </w:t>
      </w:r>
      <w:r w:rsidR="00F4516F">
        <w:rPr>
          <w:rFonts w:cs="Arial"/>
          <w:sz w:val="18"/>
          <w:szCs w:val="18"/>
        </w:rPr>
        <w:t>2 and 3</w:t>
      </w:r>
    </w:p>
  </w:footnote>
  <w:footnote w:id="4">
    <w:p w14:paraId="2A658260" w14:textId="4A73751C"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hyperlink r:id="rId5" w:history="1">
        <w:r w:rsidRPr="00790877">
          <w:rPr>
            <w:rStyle w:val="Hyperlink"/>
            <w:rFonts w:cs="Arial"/>
            <w:sz w:val="18"/>
            <w:szCs w:val="18"/>
          </w:rPr>
          <w:t>Overseas Operations (Service Personnel and Veterans) Bill (HC Bill 117)</w:t>
        </w:r>
      </w:hyperlink>
      <w:r w:rsidRPr="00790877">
        <w:rPr>
          <w:rFonts w:cs="Arial"/>
          <w:sz w:val="18"/>
          <w:szCs w:val="18"/>
        </w:rPr>
        <w:t>, Clause 11.</w:t>
      </w:r>
    </w:p>
  </w:footnote>
  <w:footnote w:id="5">
    <w:p w14:paraId="3AC6EAAC" w14:textId="2615DA51" w:rsidR="00923A14" w:rsidRDefault="00923A14">
      <w:pPr>
        <w:pStyle w:val="FootnoteText"/>
      </w:pPr>
      <w:r w:rsidRPr="00790877">
        <w:rPr>
          <w:rStyle w:val="FootnoteReference"/>
          <w:sz w:val="18"/>
          <w:szCs w:val="18"/>
        </w:rPr>
        <w:footnoteRef/>
      </w:r>
      <w:r w:rsidRPr="00790877">
        <w:rPr>
          <w:sz w:val="18"/>
          <w:szCs w:val="18"/>
        </w:rPr>
        <w:t xml:space="preserve"> </w:t>
      </w:r>
      <w:hyperlink r:id="rId6" w:history="1">
        <w:r w:rsidRPr="00790877">
          <w:rPr>
            <w:rStyle w:val="Hyperlink"/>
            <w:rFonts w:cs="Arial"/>
            <w:sz w:val="18"/>
            <w:szCs w:val="18"/>
          </w:rPr>
          <w:t>Overseas Operations (Service Personnel and Veterans) Bill (HC Bill 117)</w:t>
        </w:r>
      </w:hyperlink>
      <w:r w:rsidRPr="00790877">
        <w:rPr>
          <w:rFonts w:cs="Arial"/>
          <w:sz w:val="18"/>
          <w:szCs w:val="18"/>
        </w:rPr>
        <w:t xml:space="preserve">, Clause 12; </w:t>
      </w:r>
      <w:hyperlink r:id="rId7" w:history="1">
        <w:r w:rsidRPr="00790877">
          <w:rPr>
            <w:rStyle w:val="Hyperlink"/>
            <w:rFonts w:cs="Arial"/>
            <w:sz w:val="18"/>
            <w:szCs w:val="18"/>
          </w:rPr>
          <w:t>European Convention on Human Rights</w:t>
        </w:r>
      </w:hyperlink>
      <w:r w:rsidRPr="00790877">
        <w:rPr>
          <w:rFonts w:cs="Arial"/>
          <w:sz w:val="18"/>
          <w:szCs w:val="18"/>
        </w:rPr>
        <w:t>, Article 15: derogation in times of emergency.</w:t>
      </w:r>
      <w:r w:rsidRPr="004D0741">
        <w:rPr>
          <w:rFonts w:cs="Arial"/>
          <w:sz w:val="18"/>
          <w:szCs w:val="18"/>
        </w:rPr>
        <w:t xml:space="preserve">  </w:t>
      </w:r>
    </w:p>
  </w:footnote>
  <w:footnote w:id="6">
    <w:p w14:paraId="61A0FE82" w14:textId="77777777" w:rsidR="009E287E" w:rsidRPr="000860A3" w:rsidRDefault="009E287E" w:rsidP="009E287E">
      <w:pPr>
        <w:pStyle w:val="FootnoteText"/>
        <w:rPr>
          <w:sz w:val="18"/>
          <w:szCs w:val="18"/>
        </w:rPr>
      </w:pPr>
      <w:r>
        <w:rPr>
          <w:rStyle w:val="FootnoteReference"/>
        </w:rPr>
        <w:footnoteRef/>
      </w:r>
      <w:r>
        <w:t xml:space="preserve"> </w:t>
      </w:r>
      <w:hyperlink r:id="rId8" w:history="1">
        <w:r w:rsidRPr="000860A3">
          <w:rPr>
            <w:rStyle w:val="Hyperlink"/>
            <w:sz w:val="18"/>
            <w:szCs w:val="18"/>
          </w:rPr>
          <w:t>Overseas Operations Bill</w:t>
        </w:r>
      </w:hyperlink>
      <w:r w:rsidRPr="000860A3">
        <w:rPr>
          <w:sz w:val="18"/>
          <w:szCs w:val="18"/>
        </w:rPr>
        <w:t xml:space="preserve">, Clause 2. </w:t>
      </w:r>
    </w:p>
  </w:footnote>
  <w:footnote w:id="7">
    <w:p w14:paraId="649C2F47" w14:textId="7C3CDBC2" w:rsidR="00923A14" w:rsidRPr="00F4516F" w:rsidRDefault="00923A14" w:rsidP="00532FE6">
      <w:pPr>
        <w:pStyle w:val="FootnoteText"/>
        <w:rPr>
          <w:rFonts w:cs="Arial"/>
          <w:sz w:val="18"/>
          <w:szCs w:val="18"/>
        </w:rPr>
      </w:pPr>
      <w:r w:rsidRPr="000860A3">
        <w:rPr>
          <w:rStyle w:val="FootnoteReference"/>
          <w:rFonts w:cs="Arial"/>
          <w:sz w:val="18"/>
          <w:szCs w:val="18"/>
        </w:rPr>
        <w:footnoteRef/>
      </w:r>
      <w:r w:rsidRPr="000860A3">
        <w:rPr>
          <w:rFonts w:cs="Arial"/>
          <w:sz w:val="18"/>
          <w:szCs w:val="18"/>
        </w:rPr>
        <w:t xml:space="preserve"> </w:t>
      </w:r>
      <w:hyperlink r:id="rId9" w:history="1">
        <w:r w:rsidR="009E287E" w:rsidRPr="000860A3">
          <w:rPr>
            <w:rStyle w:val="Hyperlink"/>
            <w:sz w:val="18"/>
            <w:szCs w:val="18"/>
          </w:rPr>
          <w:t>Overseas Operations Bill</w:t>
        </w:r>
      </w:hyperlink>
      <w:r w:rsidR="009E287E" w:rsidRPr="000860A3">
        <w:rPr>
          <w:sz w:val="18"/>
          <w:szCs w:val="18"/>
        </w:rPr>
        <w:t xml:space="preserve">, Clause 3. </w:t>
      </w:r>
      <w:r w:rsidRPr="000860A3">
        <w:rPr>
          <w:rFonts w:cs="Arial"/>
          <w:sz w:val="18"/>
          <w:szCs w:val="18"/>
        </w:rPr>
        <w:t>For example</w:t>
      </w:r>
      <w:r w:rsidRPr="00F4516F">
        <w:rPr>
          <w:rFonts w:cs="Arial"/>
          <w:sz w:val="18"/>
          <w:szCs w:val="18"/>
        </w:rPr>
        <w:t>, the exceptional demands and stresses effecting their capacity to make sound judgements or exercise self-control.</w:t>
      </w:r>
    </w:p>
  </w:footnote>
  <w:footnote w:id="8">
    <w:p w14:paraId="56CE9653" w14:textId="77777777" w:rsidR="00923A14" w:rsidRPr="00F4516F" w:rsidRDefault="00923A14" w:rsidP="00532FE6">
      <w:pPr>
        <w:pStyle w:val="FootnoteText"/>
        <w:rPr>
          <w:rFonts w:cs="Arial"/>
          <w:sz w:val="18"/>
          <w:szCs w:val="18"/>
        </w:rPr>
      </w:pPr>
      <w:r w:rsidRPr="00F4516F">
        <w:rPr>
          <w:rStyle w:val="FootnoteReference"/>
          <w:rFonts w:cs="Arial"/>
          <w:sz w:val="18"/>
          <w:szCs w:val="18"/>
        </w:rPr>
        <w:footnoteRef/>
      </w:r>
      <w:r w:rsidRPr="00F4516F">
        <w:rPr>
          <w:rFonts w:cs="Arial"/>
          <w:sz w:val="18"/>
          <w:szCs w:val="18"/>
        </w:rPr>
        <w:t xml:space="preserve"> </w:t>
      </w:r>
      <w:hyperlink r:id="rId10" w:history="1">
        <w:r w:rsidRPr="00F4516F">
          <w:rPr>
            <w:rStyle w:val="Hyperlink"/>
            <w:rFonts w:cs="Arial"/>
            <w:sz w:val="18"/>
            <w:szCs w:val="18"/>
          </w:rPr>
          <w:t>Overseas Operations (Service Personnel and Veterans) Bill (HC Bill 117)</w:t>
        </w:r>
      </w:hyperlink>
      <w:r w:rsidRPr="00F4516F">
        <w:rPr>
          <w:rFonts w:cs="Arial"/>
          <w:sz w:val="18"/>
          <w:szCs w:val="18"/>
        </w:rPr>
        <w:t xml:space="preserve">, Clause 3 and 4. </w:t>
      </w:r>
    </w:p>
  </w:footnote>
  <w:footnote w:id="9">
    <w:p w14:paraId="7C9B4582" w14:textId="5D2B4C74" w:rsidR="00923A14" w:rsidRPr="00F4516F" w:rsidRDefault="00923A14">
      <w:pPr>
        <w:pStyle w:val="FootnoteText"/>
        <w:rPr>
          <w:sz w:val="18"/>
          <w:szCs w:val="18"/>
        </w:rPr>
      </w:pPr>
      <w:r w:rsidRPr="00F4516F">
        <w:rPr>
          <w:rStyle w:val="FootnoteReference"/>
          <w:sz w:val="18"/>
          <w:szCs w:val="18"/>
        </w:rPr>
        <w:footnoteRef/>
      </w:r>
      <w:r w:rsidRPr="00F4516F">
        <w:rPr>
          <w:sz w:val="18"/>
          <w:szCs w:val="18"/>
        </w:rPr>
        <w:t xml:space="preserve"> </w:t>
      </w:r>
      <w:hyperlink r:id="rId11" w:history="1">
        <w:r w:rsidRPr="00F4516F">
          <w:rPr>
            <w:rStyle w:val="Hyperlink"/>
            <w:rFonts w:cs="Arial"/>
            <w:sz w:val="18"/>
            <w:szCs w:val="18"/>
          </w:rPr>
          <w:t>Overseas Operations (Service Personnel and Veterans) Bill (HC Bill 117)</w:t>
        </w:r>
      </w:hyperlink>
      <w:r w:rsidRPr="00F4516F">
        <w:rPr>
          <w:rFonts w:cs="Arial"/>
          <w:sz w:val="18"/>
          <w:szCs w:val="18"/>
        </w:rPr>
        <w:t xml:space="preserve">, Clause 5. In the case of Northern Ireland, </w:t>
      </w:r>
      <w:proofErr w:type="gramStart"/>
      <w:r w:rsidRPr="00F4516F">
        <w:rPr>
          <w:rFonts w:cs="Arial"/>
          <w:sz w:val="18"/>
          <w:szCs w:val="18"/>
        </w:rPr>
        <w:t>consent must be obtained by the Advocate General</w:t>
      </w:r>
      <w:proofErr w:type="gramEnd"/>
      <w:r w:rsidRPr="00F4516F">
        <w:rPr>
          <w:rFonts w:cs="Arial"/>
          <w:sz w:val="18"/>
          <w:szCs w:val="18"/>
        </w:rPr>
        <w:t>. Clause 5 does not apply to Scotland.</w:t>
      </w:r>
    </w:p>
  </w:footnote>
  <w:footnote w:id="10">
    <w:p w14:paraId="68FB0B71" w14:textId="264D4DA4" w:rsidR="00E512C9" w:rsidRDefault="00E512C9">
      <w:pPr>
        <w:pStyle w:val="FootnoteText"/>
      </w:pPr>
      <w:r>
        <w:rPr>
          <w:rStyle w:val="FootnoteReference"/>
        </w:rPr>
        <w:footnoteRef/>
      </w:r>
      <w:r>
        <w:t xml:space="preserve"> </w:t>
      </w:r>
      <w:r w:rsidRPr="00E512C9">
        <w:rPr>
          <w:sz w:val="18"/>
          <w:szCs w:val="18"/>
        </w:rPr>
        <w:t>Equality and Human Rights Commission</w:t>
      </w:r>
      <w:r>
        <w:rPr>
          <w:sz w:val="18"/>
          <w:szCs w:val="18"/>
        </w:rPr>
        <w:t xml:space="preserve"> (May 2020), </w:t>
      </w:r>
      <w:hyperlink r:id="rId12" w:history="1">
        <w:r w:rsidRPr="00E512C9">
          <w:rPr>
            <w:rStyle w:val="Hyperlink"/>
            <w:sz w:val="18"/>
            <w:szCs w:val="18"/>
          </w:rPr>
          <w:t>Britain and the Convention against Torture, Follow up Submission to the UN Committee against Torture</w:t>
        </w:r>
      </w:hyperlink>
      <w:r w:rsidR="00547442">
        <w:rPr>
          <w:sz w:val="18"/>
          <w:szCs w:val="18"/>
        </w:rPr>
        <w:t>.</w:t>
      </w:r>
      <w:r>
        <w:t xml:space="preserve"> </w:t>
      </w:r>
    </w:p>
  </w:footnote>
  <w:footnote w:id="11">
    <w:p w14:paraId="754D3174" w14:textId="3C1A8676"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Committee against Torture (2012), ‘</w:t>
      </w:r>
      <w:hyperlink r:id="rId13" w:history="1">
        <w:r w:rsidRPr="00790877">
          <w:rPr>
            <w:rStyle w:val="Hyperlink"/>
            <w:rFonts w:cs="Arial"/>
            <w:sz w:val="18"/>
            <w:szCs w:val="18"/>
          </w:rPr>
          <w:t>General comment no. 3: implementation of article 14 by states parties</w:t>
        </w:r>
      </w:hyperlink>
      <w:r w:rsidRPr="00790877">
        <w:rPr>
          <w:rFonts w:cs="Arial"/>
          <w:sz w:val="18"/>
          <w:szCs w:val="18"/>
        </w:rPr>
        <w:t xml:space="preserve">’, paragraph </w:t>
      </w:r>
      <w:r w:rsidR="00547442">
        <w:rPr>
          <w:rFonts w:cs="Arial"/>
          <w:sz w:val="18"/>
          <w:szCs w:val="18"/>
        </w:rPr>
        <w:t>40 [accessed: 11 January 2021</w:t>
      </w:r>
      <w:r w:rsidRPr="00790877">
        <w:rPr>
          <w:rFonts w:cs="Arial"/>
          <w:sz w:val="18"/>
          <w:szCs w:val="18"/>
        </w:rPr>
        <w:t>].</w:t>
      </w:r>
    </w:p>
  </w:footnote>
  <w:footnote w:id="12">
    <w:p w14:paraId="4F26C2DA" w14:textId="1E7C9B3F"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 xml:space="preserve">See, for example, International Committee of the Red Cross (2005), </w:t>
      </w:r>
      <w:hyperlink r:id="rId14" w:history="1">
        <w:r w:rsidRPr="00790877">
          <w:rPr>
            <w:rStyle w:val="Hyperlink"/>
            <w:rFonts w:cs="Arial"/>
            <w:sz w:val="18"/>
            <w:szCs w:val="18"/>
          </w:rPr>
          <w:t>Customary International Humanitarian Law Volume 1: Rules</w:t>
        </w:r>
      </w:hyperlink>
      <w:r w:rsidRPr="00790877">
        <w:rPr>
          <w:rFonts w:cs="Arial"/>
          <w:sz w:val="18"/>
          <w:szCs w:val="18"/>
        </w:rPr>
        <w:t xml:space="preserve">, Rule 158, </w:t>
      </w:r>
      <w:proofErr w:type="gramStart"/>
      <w:r w:rsidRPr="00790877">
        <w:rPr>
          <w:rFonts w:cs="Arial"/>
          <w:sz w:val="18"/>
          <w:szCs w:val="18"/>
        </w:rPr>
        <w:t>page</w:t>
      </w:r>
      <w:proofErr w:type="gramEnd"/>
      <w:r w:rsidRPr="00790877">
        <w:rPr>
          <w:rFonts w:cs="Arial"/>
          <w:sz w:val="18"/>
          <w:szCs w:val="18"/>
        </w:rPr>
        <w:t xml:space="preserve"> 607. Cambridge: Cambridge University Press [accessed: </w:t>
      </w:r>
      <w:r w:rsidR="00535B93">
        <w:rPr>
          <w:rFonts w:cs="Arial"/>
          <w:sz w:val="18"/>
          <w:szCs w:val="18"/>
        </w:rPr>
        <w:t>11 January 2021</w:t>
      </w:r>
      <w:r w:rsidRPr="00790877">
        <w:rPr>
          <w:rFonts w:cs="Arial"/>
          <w:sz w:val="18"/>
          <w:szCs w:val="18"/>
        </w:rPr>
        <w:t>].</w:t>
      </w:r>
    </w:p>
  </w:footnote>
  <w:footnote w:id="13">
    <w:p w14:paraId="2A603086" w14:textId="48AFF75D"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 xml:space="preserve">Human Rights Committee (1994), </w:t>
      </w:r>
      <w:hyperlink r:id="rId15" w:anchor=":~:text=and%20mental%20suffering.-,7.,ensure%20observance%20of%20this%20provision." w:history="1">
        <w:r w:rsidRPr="00790877">
          <w:rPr>
            <w:rStyle w:val="Hyperlink"/>
            <w:rFonts w:cs="Arial"/>
            <w:sz w:val="18"/>
            <w:szCs w:val="18"/>
          </w:rPr>
          <w:t>General Comment 20, Article 7</w:t>
        </w:r>
      </w:hyperlink>
      <w:r w:rsidRPr="00790877">
        <w:rPr>
          <w:rFonts w:cs="Arial"/>
          <w:sz w:val="18"/>
          <w:szCs w:val="18"/>
        </w:rPr>
        <w:t xml:space="preserve">, paragraph 14 [accessed </w:t>
      </w:r>
      <w:r w:rsidR="00535B93">
        <w:rPr>
          <w:rFonts w:cs="Arial"/>
          <w:sz w:val="18"/>
          <w:szCs w:val="18"/>
        </w:rPr>
        <w:t>11 January 2021</w:t>
      </w:r>
      <w:r w:rsidRPr="00790877">
        <w:rPr>
          <w:rFonts w:cs="Arial"/>
          <w:sz w:val="18"/>
          <w:szCs w:val="18"/>
        </w:rPr>
        <w:t>].</w:t>
      </w:r>
    </w:p>
  </w:footnote>
  <w:footnote w:id="14">
    <w:p w14:paraId="6A4CC322" w14:textId="4F74EA68"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 xml:space="preserve">Human Rights Committee (2018), </w:t>
      </w:r>
      <w:hyperlink r:id="rId16" w:history="1">
        <w:r w:rsidRPr="00790877">
          <w:rPr>
            <w:rStyle w:val="Hyperlink"/>
            <w:rFonts w:cs="Arial"/>
            <w:sz w:val="18"/>
            <w:szCs w:val="18"/>
          </w:rPr>
          <w:t>General Comment No. 36 – Article 6 (the right to life)</w:t>
        </w:r>
      </w:hyperlink>
      <w:r w:rsidRPr="00790877">
        <w:rPr>
          <w:rFonts w:cs="Arial"/>
          <w:sz w:val="18"/>
          <w:szCs w:val="18"/>
        </w:rPr>
        <w:t xml:space="preserve">, paragraph 64 [accessed </w:t>
      </w:r>
      <w:r w:rsidR="00535B93">
        <w:rPr>
          <w:rFonts w:cs="Arial"/>
          <w:sz w:val="18"/>
          <w:szCs w:val="18"/>
        </w:rPr>
        <w:t>11 January 2021</w:t>
      </w:r>
      <w:r w:rsidRPr="00790877">
        <w:rPr>
          <w:rFonts w:cs="Arial"/>
          <w:sz w:val="18"/>
          <w:szCs w:val="18"/>
        </w:rPr>
        <w:t>].</w:t>
      </w:r>
    </w:p>
  </w:footnote>
  <w:footnote w:id="15">
    <w:p w14:paraId="3BBE9729" w14:textId="77777777" w:rsidR="00D91987" w:rsidRPr="00790877" w:rsidRDefault="00D91987" w:rsidP="00D91987">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International Court of Justice (2012), ‘</w:t>
      </w:r>
      <w:hyperlink r:id="rId17" w:history="1">
        <w:r w:rsidRPr="00790877">
          <w:rPr>
            <w:rStyle w:val="Hyperlink"/>
            <w:rFonts w:cs="Arial"/>
            <w:sz w:val="18"/>
            <w:szCs w:val="18"/>
          </w:rPr>
          <w:t>Questions relating to the obligation to prosecute or extradite (Belgium v Senegal)</w:t>
        </w:r>
      </w:hyperlink>
      <w:r w:rsidRPr="00790877">
        <w:rPr>
          <w:rFonts w:cs="Arial"/>
          <w:sz w:val="18"/>
          <w:szCs w:val="18"/>
        </w:rPr>
        <w:t xml:space="preserve">, 20 July 2012, General List No. 144, paragraph 95: ‘prosecution is an international obligation under the Convention, the violation of which is a wrongful act engaging the responsibility of the State’ [accessed: </w:t>
      </w:r>
      <w:r>
        <w:rPr>
          <w:rFonts w:cs="Arial"/>
          <w:sz w:val="18"/>
          <w:szCs w:val="18"/>
        </w:rPr>
        <w:t>11 January 2021</w:t>
      </w:r>
      <w:r w:rsidRPr="00790877">
        <w:rPr>
          <w:rFonts w:cs="Arial"/>
          <w:sz w:val="18"/>
          <w:szCs w:val="18"/>
        </w:rPr>
        <w:t xml:space="preserve">].  </w:t>
      </w:r>
      <w:proofErr w:type="gramStart"/>
      <w:r w:rsidRPr="00790877">
        <w:rPr>
          <w:rFonts w:cs="Arial"/>
          <w:sz w:val="18"/>
          <w:szCs w:val="18"/>
        </w:rPr>
        <w:t>As a consequence</w:t>
      </w:r>
      <w:proofErr w:type="gramEnd"/>
      <w:r w:rsidRPr="00790877">
        <w:rPr>
          <w:rFonts w:cs="Arial"/>
          <w:sz w:val="18"/>
          <w:szCs w:val="18"/>
        </w:rPr>
        <w:t xml:space="preserve"> of a failure to prosecute domestically, UK personnel may face being extradited by</w:t>
      </w:r>
      <w:r w:rsidRPr="00717B03">
        <w:rPr>
          <w:rFonts w:cs="Arial"/>
          <w:sz w:val="18"/>
          <w:szCs w:val="18"/>
        </w:rPr>
        <w:t xml:space="preserve"> </w:t>
      </w:r>
      <w:r w:rsidRPr="00790877">
        <w:rPr>
          <w:rFonts w:cs="Arial"/>
          <w:sz w:val="18"/>
          <w:szCs w:val="18"/>
        </w:rPr>
        <w:t xml:space="preserve">other States party to the CAT. See: Freedom from Torture (2019), </w:t>
      </w:r>
      <w:hyperlink r:id="rId18" w:history="1">
        <w:r w:rsidRPr="00790877">
          <w:rPr>
            <w:rStyle w:val="Hyperlink"/>
            <w:rFonts w:cs="Arial"/>
            <w:sz w:val="18"/>
            <w:szCs w:val="18"/>
          </w:rPr>
          <w:t>‘Response to MoD consultation on legal protections for armed forces personnel’</w:t>
        </w:r>
      </w:hyperlink>
      <w:r w:rsidRPr="00790877">
        <w:rPr>
          <w:rFonts w:cs="Arial"/>
          <w:sz w:val="18"/>
          <w:szCs w:val="18"/>
        </w:rPr>
        <w:t xml:space="preserve">, page </w:t>
      </w:r>
      <w:proofErr w:type="gramStart"/>
      <w:r w:rsidRPr="00790877">
        <w:rPr>
          <w:rFonts w:cs="Arial"/>
          <w:sz w:val="18"/>
          <w:szCs w:val="18"/>
        </w:rPr>
        <w:t>7</w:t>
      </w:r>
      <w:proofErr w:type="gramEnd"/>
      <w:r w:rsidRPr="00790877">
        <w:rPr>
          <w:rFonts w:cs="Arial"/>
          <w:sz w:val="18"/>
          <w:szCs w:val="18"/>
        </w:rPr>
        <w:t>.</w:t>
      </w:r>
      <w:r w:rsidRPr="00790877">
        <w:rPr>
          <w:sz w:val="18"/>
          <w:szCs w:val="18"/>
        </w:rPr>
        <w:t xml:space="preserve">  </w:t>
      </w:r>
    </w:p>
  </w:footnote>
  <w:footnote w:id="16">
    <w:p w14:paraId="114CB76D" w14:textId="77777777" w:rsidR="00B16AE7" w:rsidRPr="008D0622" w:rsidRDefault="00B16AE7" w:rsidP="00B16AE7">
      <w:pPr>
        <w:pStyle w:val="FootnoteText"/>
        <w:rPr>
          <w:sz w:val="18"/>
          <w:szCs w:val="18"/>
        </w:rPr>
      </w:pPr>
      <w:r w:rsidRPr="002069B9">
        <w:rPr>
          <w:rStyle w:val="FootnoteReference"/>
          <w:sz w:val="18"/>
          <w:szCs w:val="18"/>
        </w:rPr>
        <w:footnoteRef/>
      </w:r>
      <w:r w:rsidRPr="002069B9">
        <w:rPr>
          <w:sz w:val="18"/>
          <w:szCs w:val="18"/>
        </w:rPr>
        <w:t xml:space="preserve"> </w:t>
      </w:r>
      <w:hyperlink r:id="rId19" w:history="1">
        <w:r w:rsidRPr="002069B9">
          <w:rPr>
            <w:rStyle w:val="Hyperlink"/>
            <w:sz w:val="18"/>
            <w:szCs w:val="18"/>
          </w:rPr>
          <w:t>Convention on the Prevention and Punishment of the Crime of Genocide</w:t>
        </w:r>
      </w:hyperlink>
      <w:r w:rsidRPr="002069B9">
        <w:rPr>
          <w:sz w:val="18"/>
          <w:szCs w:val="18"/>
        </w:rPr>
        <w:t>, Articles VI stipulates that persons charged with genocide ‘shall be tried by a competent tribunal of the State in the territory of which the act was committed, or by such international penal tribunal as may have jurisdiction with respect to those Contracting Parties which shall have accepted its jurisdiction.’</w:t>
      </w:r>
    </w:p>
  </w:footnote>
  <w:footnote w:id="17">
    <w:p w14:paraId="47257AA2" w14:textId="77777777" w:rsidR="00B16AE7" w:rsidRPr="008D0622" w:rsidRDefault="00B16AE7" w:rsidP="00B16AE7">
      <w:pPr>
        <w:pStyle w:val="FootnoteText"/>
        <w:rPr>
          <w:sz w:val="18"/>
          <w:szCs w:val="18"/>
        </w:rPr>
      </w:pPr>
      <w:r w:rsidRPr="008D0622">
        <w:rPr>
          <w:rStyle w:val="FootnoteReference"/>
          <w:sz w:val="18"/>
          <w:szCs w:val="18"/>
        </w:rPr>
        <w:footnoteRef/>
      </w:r>
      <w:r w:rsidRPr="008D0622">
        <w:rPr>
          <w:sz w:val="18"/>
          <w:szCs w:val="18"/>
        </w:rPr>
        <w:t xml:space="preserve"> </w:t>
      </w:r>
      <w:hyperlink r:id="rId20" w:history="1">
        <w:r w:rsidRPr="001D7D07">
          <w:rPr>
            <w:rStyle w:val="Hyperlink"/>
            <w:sz w:val="18"/>
            <w:szCs w:val="18"/>
          </w:rPr>
          <w:t>The Rome Statute</w:t>
        </w:r>
      </w:hyperlink>
      <w:r>
        <w:rPr>
          <w:sz w:val="18"/>
          <w:szCs w:val="18"/>
        </w:rPr>
        <w:t xml:space="preserve"> stipulates that ‘it is the duty of every State to exercise its criminal jurisdiction over those responsible for international crimes’.</w:t>
      </w:r>
    </w:p>
  </w:footnote>
  <w:footnote w:id="18">
    <w:p w14:paraId="03DE6EE0" w14:textId="77777777" w:rsidR="00B16AE7" w:rsidRDefault="00B16AE7" w:rsidP="00B16AE7">
      <w:pPr>
        <w:pStyle w:val="FootnoteText"/>
      </w:pPr>
      <w:r w:rsidRPr="008D0622">
        <w:rPr>
          <w:rStyle w:val="FootnoteReference"/>
          <w:sz w:val="18"/>
          <w:szCs w:val="18"/>
        </w:rPr>
        <w:footnoteRef/>
      </w:r>
      <w:r w:rsidRPr="008D0622">
        <w:rPr>
          <w:sz w:val="18"/>
          <w:szCs w:val="18"/>
        </w:rPr>
        <w:t xml:space="preserve"> In relation to grave breaches, the First Geneva Convention stipulates that ‘[e]ach High Contracting Party shall be under the obligation to search for persons alleged to have committed, or to have ordered to be committed, such grave breaches, and shall bring such persons, regardless of their nationality, before its own courts. See </w:t>
      </w:r>
      <w:hyperlink r:id="rId21" w:history="1">
        <w:r w:rsidRPr="008D0622">
          <w:rPr>
            <w:rStyle w:val="Hyperlink"/>
            <w:sz w:val="18"/>
            <w:szCs w:val="18"/>
          </w:rPr>
          <w:t>First Geneva Convention</w:t>
        </w:r>
      </w:hyperlink>
      <w:r w:rsidRPr="008D0622">
        <w:rPr>
          <w:sz w:val="18"/>
          <w:szCs w:val="18"/>
        </w:rPr>
        <w:t>, Article 49.</w:t>
      </w:r>
    </w:p>
  </w:footnote>
  <w:footnote w:id="19">
    <w:p w14:paraId="19760827" w14:textId="663380C0" w:rsidR="00923A14" w:rsidRPr="00790877" w:rsidRDefault="00923A14">
      <w:pPr>
        <w:pStyle w:val="FootnoteText"/>
        <w:rPr>
          <w:rFonts w:cs="Arial"/>
          <w:sz w:val="18"/>
          <w:szCs w:val="18"/>
        </w:rPr>
      </w:pPr>
      <w:r w:rsidRPr="00790877">
        <w:rPr>
          <w:rStyle w:val="FootnoteReference"/>
          <w:sz w:val="18"/>
          <w:szCs w:val="18"/>
        </w:rPr>
        <w:footnoteRef/>
      </w:r>
      <w:r w:rsidRPr="00790877">
        <w:rPr>
          <w:sz w:val="18"/>
          <w:szCs w:val="18"/>
        </w:rPr>
        <w:t xml:space="preserve"> </w:t>
      </w:r>
      <w:hyperlink r:id="rId22" w:history="1">
        <w:r w:rsidRPr="00790877">
          <w:rPr>
            <w:rStyle w:val="Hyperlink"/>
            <w:rFonts w:cs="Arial"/>
            <w:sz w:val="18"/>
            <w:szCs w:val="18"/>
          </w:rPr>
          <w:t>Rome Statute of the International Criminal Court</w:t>
        </w:r>
      </w:hyperlink>
      <w:r w:rsidRPr="00790877">
        <w:rPr>
          <w:rFonts w:cs="Arial"/>
          <w:sz w:val="18"/>
          <w:szCs w:val="18"/>
        </w:rPr>
        <w:t xml:space="preserve">, preamble.  </w:t>
      </w:r>
    </w:p>
  </w:footnote>
  <w:footnote w:id="20">
    <w:p w14:paraId="27415779" w14:textId="5EF1F43A"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hyperlink r:id="rId23" w:history="1">
        <w:r w:rsidRPr="00790877">
          <w:rPr>
            <w:rStyle w:val="Hyperlink"/>
            <w:rFonts w:cs="Arial"/>
            <w:sz w:val="18"/>
            <w:szCs w:val="18"/>
          </w:rPr>
          <w:t>Rome Statute of the International Criminal Court</w:t>
        </w:r>
      </w:hyperlink>
      <w:r w:rsidRPr="00790877">
        <w:rPr>
          <w:rFonts w:cs="Arial"/>
          <w:sz w:val="18"/>
          <w:szCs w:val="18"/>
        </w:rPr>
        <w:t>, Article 17.</w:t>
      </w:r>
    </w:p>
  </w:footnote>
  <w:footnote w:id="21">
    <w:p w14:paraId="684FDACE" w14:textId="1EDEF4F5"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Since 2014, the ICC been conducting preliminary examinations of the UK’s actions in Iraq. See: International Criminal Court, ‘</w:t>
      </w:r>
      <w:hyperlink r:id="rId24" w:history="1">
        <w:r w:rsidRPr="00790877">
          <w:rPr>
            <w:rStyle w:val="Hyperlink"/>
            <w:rFonts w:cs="Arial"/>
            <w:sz w:val="18"/>
            <w:szCs w:val="18"/>
          </w:rPr>
          <w:t>Preliminary Examination: Iraq/UK</w:t>
        </w:r>
      </w:hyperlink>
      <w:r w:rsidRPr="00790877">
        <w:rPr>
          <w:rFonts w:cs="Arial"/>
          <w:sz w:val="18"/>
          <w:szCs w:val="18"/>
        </w:rPr>
        <w:t xml:space="preserve">’ [accessed </w:t>
      </w:r>
      <w:r w:rsidR="00107C31">
        <w:rPr>
          <w:rFonts w:cs="Arial"/>
          <w:sz w:val="18"/>
          <w:szCs w:val="18"/>
        </w:rPr>
        <w:t>11 January 2021</w:t>
      </w:r>
      <w:r w:rsidRPr="00790877">
        <w:rPr>
          <w:rFonts w:cs="Arial"/>
          <w:sz w:val="18"/>
          <w:szCs w:val="18"/>
        </w:rPr>
        <w:t>].</w:t>
      </w:r>
    </w:p>
  </w:footnote>
  <w:footnote w:id="22">
    <w:p w14:paraId="2A584F05" w14:textId="49863EE4" w:rsidR="00FA0F2C" w:rsidRPr="00715415" w:rsidRDefault="00FA0F2C">
      <w:pPr>
        <w:pStyle w:val="FootnoteText"/>
        <w:rPr>
          <w:sz w:val="18"/>
          <w:szCs w:val="18"/>
        </w:rPr>
      </w:pPr>
      <w:r w:rsidRPr="00715415">
        <w:rPr>
          <w:rStyle w:val="FootnoteReference"/>
          <w:sz w:val="18"/>
          <w:szCs w:val="18"/>
        </w:rPr>
        <w:footnoteRef/>
      </w:r>
      <w:r w:rsidRPr="00715415">
        <w:rPr>
          <w:sz w:val="18"/>
          <w:szCs w:val="18"/>
        </w:rPr>
        <w:t xml:space="preserve"> </w:t>
      </w:r>
      <w:r w:rsidR="00B93E36" w:rsidRPr="00715415">
        <w:rPr>
          <w:sz w:val="18"/>
          <w:szCs w:val="18"/>
        </w:rPr>
        <w:t xml:space="preserve">International Criminal Court Office of the Prosecutor (9 December 2020), </w:t>
      </w:r>
      <w:hyperlink r:id="rId25" w:history="1">
        <w:r w:rsidR="00B93E36" w:rsidRPr="00715415">
          <w:rPr>
            <w:rStyle w:val="Hyperlink"/>
            <w:sz w:val="18"/>
            <w:szCs w:val="18"/>
          </w:rPr>
          <w:t>Situation in Iraq/UK Final Report</w:t>
        </w:r>
      </w:hyperlink>
      <w:r w:rsidR="00B93E36" w:rsidRPr="00715415">
        <w:rPr>
          <w:sz w:val="18"/>
          <w:szCs w:val="18"/>
        </w:rPr>
        <w:t xml:space="preserve">. </w:t>
      </w:r>
      <w:proofErr w:type="gramStart"/>
      <w:r w:rsidR="00DF23FD" w:rsidRPr="00715415">
        <w:rPr>
          <w:sz w:val="18"/>
          <w:szCs w:val="18"/>
        </w:rPr>
        <w:t xml:space="preserve">Under Articles 17(1)(a)-(c) of the Rome Statute, the ICC shall consider a case </w:t>
      </w:r>
      <w:r w:rsidR="00715415" w:rsidRPr="00715415">
        <w:rPr>
          <w:sz w:val="18"/>
          <w:szCs w:val="18"/>
        </w:rPr>
        <w:t>in</w:t>
      </w:r>
      <w:r w:rsidR="00DF23FD" w:rsidRPr="00715415">
        <w:rPr>
          <w:sz w:val="18"/>
          <w:szCs w:val="18"/>
        </w:rPr>
        <w:t>admissible where</w:t>
      </w:r>
      <w:r w:rsidR="00715415">
        <w:rPr>
          <w:sz w:val="18"/>
          <w:szCs w:val="18"/>
        </w:rPr>
        <w:t xml:space="preserve"> (emphasis added)</w:t>
      </w:r>
      <w:r w:rsidR="00715415" w:rsidRPr="00715415">
        <w:rPr>
          <w:sz w:val="18"/>
          <w:szCs w:val="18"/>
        </w:rPr>
        <w:t>: (a) The case is being investigated or prosecuted by a State which has jurisdiction over it</w:t>
      </w:r>
      <w:r w:rsidR="00715415" w:rsidRPr="00715415">
        <w:rPr>
          <w:i/>
          <w:sz w:val="18"/>
          <w:szCs w:val="18"/>
        </w:rPr>
        <w:t>, unless the State is unwilling or unable genuinely to carry out the investigation or prosecution</w:t>
      </w:r>
      <w:r w:rsidR="00715415" w:rsidRPr="00715415">
        <w:rPr>
          <w:sz w:val="18"/>
          <w:szCs w:val="18"/>
        </w:rPr>
        <w:t xml:space="preserve">; (b) The case has been investigated by a State which has jurisdiction over it and the State has decided not to prosecute the person concerned, </w:t>
      </w:r>
      <w:r w:rsidR="00715415" w:rsidRPr="00715415">
        <w:rPr>
          <w:i/>
          <w:sz w:val="18"/>
          <w:szCs w:val="18"/>
        </w:rPr>
        <w:t>unless the decision resulted from the unwillingness or inability of the State genuinely to prosecute</w:t>
      </w:r>
      <w:r w:rsidR="00715415" w:rsidRPr="00715415">
        <w:rPr>
          <w:sz w:val="18"/>
          <w:szCs w:val="18"/>
        </w:rPr>
        <w:t>; (c) The person concerned has already been tried for conduct which is the subject of the complaint, and a trial by the Court is not permitted under article 20, paragraph 3.</w:t>
      </w:r>
      <w:proofErr w:type="gramEnd"/>
    </w:p>
  </w:footnote>
  <w:footnote w:id="23">
    <w:p w14:paraId="3348FB82" w14:textId="5971CF7F" w:rsidR="00FA0F2C" w:rsidRPr="00715415" w:rsidRDefault="00FA0F2C">
      <w:pPr>
        <w:pStyle w:val="FootnoteText"/>
      </w:pPr>
      <w:r w:rsidRPr="00715415">
        <w:rPr>
          <w:rStyle w:val="FootnoteReference"/>
          <w:sz w:val="18"/>
        </w:rPr>
        <w:footnoteRef/>
      </w:r>
      <w:r w:rsidRPr="00715415">
        <w:rPr>
          <w:sz w:val="18"/>
        </w:rPr>
        <w:t xml:space="preserve"> </w:t>
      </w:r>
      <w:r w:rsidR="00151B9A" w:rsidRPr="00715415">
        <w:rPr>
          <w:sz w:val="18"/>
        </w:rPr>
        <w:t xml:space="preserve">International Criminal Court Office of the Prosecutor (9 December 2020), </w:t>
      </w:r>
      <w:hyperlink r:id="rId26" w:history="1">
        <w:r w:rsidR="00151B9A" w:rsidRPr="00715415">
          <w:rPr>
            <w:rStyle w:val="Hyperlink"/>
            <w:sz w:val="18"/>
          </w:rPr>
          <w:t>Situation in Iraq/UK Final Report</w:t>
        </w:r>
      </w:hyperlink>
      <w:r w:rsidR="00151B9A" w:rsidRPr="00715415">
        <w:rPr>
          <w:sz w:val="18"/>
        </w:rPr>
        <w:t>.</w:t>
      </w:r>
      <w:r w:rsidR="00F66641" w:rsidRPr="00715415">
        <w:rPr>
          <w:sz w:val="18"/>
        </w:rPr>
        <w:t xml:space="preserve"> The ‘presumption against prosecution’ in the Bill will not apply retrospectively to any legal proceedings that are already underway when the Bill comes into force, including any war crimes allegedly committed by UK personnel in Iraq that are already under investigation. </w:t>
      </w:r>
      <w:proofErr w:type="gramStart"/>
      <w:r w:rsidR="00F66641" w:rsidRPr="00715415">
        <w:rPr>
          <w:sz w:val="18"/>
        </w:rPr>
        <w:t xml:space="preserve">However, if any new allegations of crimes committed by British personnel in Iraq, which fall within the jurisdiction of the ICC, arise after the Bill enters into force and a decision is made not to prosecute due to ‘the presumption against prosecution’ provisions of the Bill, then that could be grounds for the ICC to revisit its decision to drop its inquiry into </w:t>
      </w:r>
      <w:r w:rsidR="00213F83" w:rsidRPr="00715415">
        <w:rPr>
          <w:sz w:val="18"/>
        </w:rPr>
        <w:t xml:space="preserve">alleged </w:t>
      </w:r>
      <w:r w:rsidR="00F66641" w:rsidRPr="00715415">
        <w:rPr>
          <w:sz w:val="18"/>
        </w:rPr>
        <w:t>British war crimes in Iraq.</w:t>
      </w:r>
      <w:proofErr w:type="gramEnd"/>
    </w:p>
  </w:footnote>
  <w:footnote w:id="24">
    <w:p w14:paraId="4E6EBF33" w14:textId="78284756" w:rsidR="00923A14" w:rsidRPr="00790877" w:rsidRDefault="00923A14">
      <w:pPr>
        <w:pStyle w:val="FootnoteText"/>
        <w:rPr>
          <w:sz w:val="18"/>
          <w:szCs w:val="18"/>
        </w:rPr>
      </w:pPr>
      <w:r w:rsidRPr="00715415">
        <w:rPr>
          <w:rStyle w:val="FootnoteReference"/>
          <w:sz w:val="18"/>
          <w:szCs w:val="18"/>
        </w:rPr>
        <w:footnoteRef/>
      </w:r>
      <w:r w:rsidRPr="00715415">
        <w:rPr>
          <w:sz w:val="18"/>
          <w:szCs w:val="18"/>
        </w:rPr>
        <w:t xml:space="preserve"> </w:t>
      </w:r>
      <w:r w:rsidRPr="00715415">
        <w:rPr>
          <w:rFonts w:cs="Arial"/>
          <w:i/>
          <w:sz w:val="18"/>
          <w:szCs w:val="18"/>
        </w:rPr>
        <w:t xml:space="preserve">McCann and Others v. </w:t>
      </w:r>
      <w:proofErr w:type="gramStart"/>
      <w:r w:rsidRPr="00715415">
        <w:rPr>
          <w:rFonts w:cs="Arial"/>
          <w:i/>
          <w:sz w:val="18"/>
          <w:szCs w:val="18"/>
        </w:rPr>
        <w:t>The United Kingdom</w:t>
      </w:r>
      <w:r w:rsidRPr="00715415">
        <w:rPr>
          <w:rFonts w:cs="Arial"/>
          <w:sz w:val="18"/>
          <w:szCs w:val="18"/>
        </w:rPr>
        <w:t>, no. 18984/91¸ paragraph 161: when reading Article</w:t>
      </w:r>
      <w:r w:rsidRPr="00790877">
        <w:rPr>
          <w:rFonts w:cs="Arial"/>
          <w:sz w:val="18"/>
          <w:szCs w:val="18"/>
        </w:rPr>
        <w:t xml:space="preserve"> 2 in conjunction with Article 1 there is an obligation on the state to conduct an investigation when individuals have been killed by the use of force by agents of the state; </w:t>
      </w:r>
      <w:proofErr w:type="spellStart"/>
      <w:r w:rsidRPr="00790877">
        <w:rPr>
          <w:i/>
          <w:sz w:val="18"/>
          <w:szCs w:val="18"/>
        </w:rPr>
        <w:t>Marguš</w:t>
      </w:r>
      <w:proofErr w:type="spellEnd"/>
      <w:r w:rsidRPr="00790877">
        <w:rPr>
          <w:i/>
          <w:sz w:val="18"/>
          <w:szCs w:val="18"/>
        </w:rPr>
        <w:t xml:space="preserve"> v Croatia</w:t>
      </w:r>
      <w:r w:rsidRPr="00790877">
        <w:rPr>
          <w:sz w:val="18"/>
          <w:szCs w:val="18"/>
        </w:rPr>
        <w:t>, no. 4455/10</w:t>
      </w:r>
      <w:r w:rsidRPr="00790877">
        <w:rPr>
          <w:rFonts w:cs="Arial"/>
          <w:sz w:val="18"/>
          <w:szCs w:val="18"/>
        </w:rPr>
        <w:t>, paragraph 127: [G]</w:t>
      </w:r>
      <w:proofErr w:type="spellStart"/>
      <w:r w:rsidRPr="00790877">
        <w:rPr>
          <w:rFonts w:cs="Arial"/>
          <w:sz w:val="18"/>
          <w:szCs w:val="18"/>
        </w:rPr>
        <w:t>ranting</w:t>
      </w:r>
      <w:proofErr w:type="spellEnd"/>
      <w:r w:rsidRPr="00790877">
        <w:rPr>
          <w:rFonts w:cs="Arial"/>
          <w:sz w:val="18"/>
          <w:szCs w:val="18"/>
        </w:rPr>
        <w:t xml:space="preserve"> amnesty in respect of the killing and ill-treatment of civilians would run contrary to the State’s obligations under Articles 2 and 3 of the Convention since it would hamper the investigation of such acts and necessarily lead to impunity for those responsible.’</w:t>
      </w:r>
      <w:proofErr w:type="gramEnd"/>
      <w:r w:rsidRPr="00790877">
        <w:rPr>
          <w:rFonts w:cs="Arial"/>
          <w:sz w:val="18"/>
          <w:szCs w:val="18"/>
        </w:rPr>
        <w:t xml:space="preserve"> The European Court of Human Rights (</w:t>
      </w:r>
      <w:proofErr w:type="spellStart"/>
      <w:r w:rsidRPr="00790877">
        <w:rPr>
          <w:rFonts w:cs="Arial"/>
          <w:sz w:val="18"/>
          <w:szCs w:val="18"/>
        </w:rPr>
        <w:t>ECtHR</w:t>
      </w:r>
      <w:proofErr w:type="spellEnd"/>
      <w:r w:rsidRPr="00790877">
        <w:rPr>
          <w:rFonts w:cs="Arial"/>
          <w:sz w:val="18"/>
          <w:szCs w:val="18"/>
        </w:rPr>
        <w:t xml:space="preserve">) has emphasised that where </w:t>
      </w:r>
      <w:proofErr w:type="gramStart"/>
      <w:r w:rsidRPr="00790877">
        <w:rPr>
          <w:rFonts w:cs="Arial"/>
          <w:sz w:val="18"/>
          <w:szCs w:val="18"/>
        </w:rPr>
        <w:t>lethal force has been used by a State agent, then ‘stringent scrutiny’</w:t>
      </w:r>
      <w:proofErr w:type="gramEnd"/>
      <w:r w:rsidRPr="00790877">
        <w:rPr>
          <w:rFonts w:cs="Arial"/>
          <w:sz w:val="18"/>
          <w:szCs w:val="18"/>
        </w:rPr>
        <w:t xml:space="preserve"> would need to be applied by the authorities investigating the incident. See: </w:t>
      </w:r>
      <w:r w:rsidRPr="00790877">
        <w:rPr>
          <w:rFonts w:cs="Arial"/>
          <w:i/>
          <w:sz w:val="18"/>
          <w:szCs w:val="18"/>
        </w:rPr>
        <w:t>Armani Da Silva v. the United Kingdom [GC]</w:t>
      </w:r>
      <w:r w:rsidRPr="00790877">
        <w:rPr>
          <w:rFonts w:cs="Arial"/>
          <w:sz w:val="18"/>
          <w:szCs w:val="18"/>
        </w:rPr>
        <w:t xml:space="preserve">, </w:t>
      </w:r>
      <w:proofErr w:type="gramStart"/>
      <w:r w:rsidRPr="00790877">
        <w:rPr>
          <w:rFonts w:cs="Arial"/>
          <w:sz w:val="18"/>
          <w:szCs w:val="18"/>
        </w:rPr>
        <w:t>no. 5878/08</w:t>
      </w:r>
      <w:proofErr w:type="gramEnd"/>
      <w:r w:rsidRPr="00790877">
        <w:rPr>
          <w:rFonts w:cs="Arial"/>
          <w:sz w:val="18"/>
          <w:szCs w:val="18"/>
        </w:rPr>
        <w:t>, 30 March 2016, para. 234.</w:t>
      </w:r>
    </w:p>
  </w:footnote>
  <w:footnote w:id="25">
    <w:p w14:paraId="79B9218A" w14:textId="77777777" w:rsidR="00324605" w:rsidRPr="00790877" w:rsidRDefault="00324605" w:rsidP="00324605">
      <w:pPr>
        <w:pStyle w:val="FootnoteText"/>
        <w:rPr>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 xml:space="preserve">The European Court of Human rights has underlined that the procedural obligations arising under Articles 2 and 3 of the Convention </w:t>
      </w:r>
      <w:proofErr w:type="gramStart"/>
      <w:r w:rsidRPr="00790877">
        <w:rPr>
          <w:rFonts w:cs="Arial"/>
          <w:sz w:val="18"/>
          <w:szCs w:val="18"/>
        </w:rPr>
        <w:t>will not be met</w:t>
      </w:r>
      <w:proofErr w:type="gramEnd"/>
      <w:r w:rsidRPr="00790877">
        <w:rPr>
          <w:rFonts w:cs="Arial"/>
          <w:sz w:val="18"/>
          <w:szCs w:val="18"/>
        </w:rPr>
        <w:t xml:space="preserve"> where an investigation is terminated through statutory limitation of criminal liability resulting from the authorities’ inactivity. See: </w:t>
      </w:r>
      <w:hyperlink r:id="rId27" w:anchor="{%22itemid%22:[%22001-104864%22]}" w:history="1">
        <w:r w:rsidRPr="00790877">
          <w:rPr>
            <w:rStyle w:val="Hyperlink"/>
            <w:rFonts w:cs="Arial"/>
            <w:i/>
            <w:sz w:val="18"/>
            <w:szCs w:val="18"/>
          </w:rPr>
          <w:t>Association “21 December 1989” and Others v. Romania, nos. 33810/07 and 18817/08</w:t>
        </w:r>
      </w:hyperlink>
      <w:r w:rsidRPr="00790877">
        <w:rPr>
          <w:rStyle w:val="Hyperlink"/>
          <w:rFonts w:cs="Arial"/>
          <w:sz w:val="18"/>
          <w:szCs w:val="18"/>
        </w:rPr>
        <w:t xml:space="preserve">, </w:t>
      </w:r>
      <w:r w:rsidRPr="00790877">
        <w:rPr>
          <w:rFonts w:cs="Arial"/>
          <w:sz w:val="18"/>
          <w:szCs w:val="18"/>
        </w:rPr>
        <w:t>paragraph 144.</w:t>
      </w:r>
    </w:p>
  </w:footnote>
  <w:footnote w:id="26">
    <w:p w14:paraId="4E4898C1" w14:textId="77777777" w:rsidR="00324605" w:rsidRPr="00805F04" w:rsidRDefault="00324605" w:rsidP="00324605">
      <w:pPr>
        <w:pStyle w:val="FootnoteText"/>
        <w:rPr>
          <w:b/>
        </w:rPr>
      </w:pPr>
      <w:r w:rsidRPr="00790877">
        <w:rPr>
          <w:rStyle w:val="FootnoteReference"/>
          <w:sz w:val="18"/>
          <w:szCs w:val="18"/>
        </w:rPr>
        <w:footnoteRef/>
      </w:r>
      <w:r w:rsidRPr="00790877">
        <w:rPr>
          <w:sz w:val="18"/>
          <w:szCs w:val="18"/>
        </w:rPr>
        <w:t xml:space="preserve"> </w:t>
      </w:r>
      <w:r w:rsidRPr="00790877">
        <w:rPr>
          <w:rFonts w:cs="Arial"/>
          <w:sz w:val="18"/>
          <w:szCs w:val="18"/>
        </w:rPr>
        <w:t xml:space="preserve">Any investigation must involve a ‘thorough, objective and impartial analysis’ of the evidence. See: </w:t>
      </w:r>
      <w:proofErr w:type="spellStart"/>
      <w:r w:rsidRPr="00790877">
        <w:rPr>
          <w:rFonts w:cs="Arial"/>
          <w:i/>
          <w:sz w:val="18"/>
          <w:szCs w:val="18"/>
        </w:rPr>
        <w:t>Kolevi</w:t>
      </w:r>
      <w:proofErr w:type="spellEnd"/>
      <w:r w:rsidRPr="00790877">
        <w:rPr>
          <w:rFonts w:cs="Arial"/>
          <w:i/>
          <w:sz w:val="18"/>
          <w:szCs w:val="18"/>
        </w:rPr>
        <w:t xml:space="preserve"> v. </w:t>
      </w:r>
      <w:r w:rsidRPr="00805F04">
        <w:rPr>
          <w:rFonts w:cs="Arial"/>
          <w:i/>
          <w:sz w:val="18"/>
          <w:szCs w:val="18"/>
        </w:rPr>
        <w:t>Bulgaria</w:t>
      </w:r>
      <w:r w:rsidRPr="00805F04">
        <w:rPr>
          <w:rFonts w:cs="Arial"/>
          <w:sz w:val="18"/>
          <w:szCs w:val="18"/>
        </w:rPr>
        <w:t xml:space="preserve">, </w:t>
      </w:r>
      <w:proofErr w:type="gramStart"/>
      <w:r w:rsidRPr="00805F04">
        <w:rPr>
          <w:rFonts w:cs="Arial"/>
          <w:sz w:val="18"/>
          <w:szCs w:val="18"/>
        </w:rPr>
        <w:t>no. 1108/02</w:t>
      </w:r>
      <w:proofErr w:type="gramEnd"/>
      <w:r w:rsidRPr="00805F04">
        <w:rPr>
          <w:rFonts w:cs="Arial"/>
          <w:sz w:val="18"/>
          <w:szCs w:val="18"/>
        </w:rPr>
        <w:t>, 5 November 2009, para 201.</w:t>
      </w:r>
    </w:p>
  </w:footnote>
  <w:footnote w:id="27">
    <w:p w14:paraId="4721AE37" w14:textId="68A435F3" w:rsidR="00923A14" w:rsidRPr="00805F04" w:rsidRDefault="00923A14">
      <w:pPr>
        <w:pStyle w:val="FootnoteText"/>
        <w:rPr>
          <w:sz w:val="18"/>
          <w:szCs w:val="18"/>
        </w:rPr>
      </w:pPr>
      <w:r w:rsidRPr="00805F04">
        <w:rPr>
          <w:rStyle w:val="FootnoteReference"/>
          <w:sz w:val="18"/>
          <w:szCs w:val="18"/>
        </w:rPr>
        <w:footnoteRef/>
      </w:r>
      <w:r w:rsidRPr="00805F04">
        <w:rPr>
          <w:sz w:val="18"/>
          <w:szCs w:val="18"/>
        </w:rPr>
        <w:t xml:space="preserve"> </w:t>
      </w:r>
      <w:r w:rsidRPr="00805F04">
        <w:rPr>
          <w:rFonts w:cs="Arial"/>
          <w:sz w:val="18"/>
          <w:szCs w:val="18"/>
        </w:rPr>
        <w:t xml:space="preserve">This is defined as a piece of </w:t>
      </w:r>
      <w:proofErr w:type="gramStart"/>
      <w:r w:rsidRPr="00805F04">
        <w:rPr>
          <w:rFonts w:cs="Arial"/>
          <w:sz w:val="18"/>
          <w:szCs w:val="18"/>
        </w:rPr>
        <w:t>evidence which</w:t>
      </w:r>
      <w:proofErr w:type="gramEnd"/>
      <w:r w:rsidRPr="00805F04">
        <w:rPr>
          <w:rFonts w:cs="Arial"/>
          <w:sz w:val="18"/>
          <w:szCs w:val="18"/>
        </w:rPr>
        <w:t xml:space="preserve"> has not been taken into account in a previous investigation. There is no further guidance on what might constitute ‘compelling’ evidence.  See: </w:t>
      </w:r>
      <w:hyperlink r:id="rId28" w:history="1">
        <w:r w:rsidRPr="00805F04">
          <w:rPr>
            <w:rStyle w:val="Hyperlink"/>
            <w:rFonts w:cs="Arial"/>
            <w:sz w:val="18"/>
            <w:szCs w:val="18"/>
          </w:rPr>
          <w:t>Overseas Operations (Service Personnel and Veterans) Bill (HC Bill 117)</w:t>
        </w:r>
      </w:hyperlink>
      <w:r w:rsidRPr="00805F04">
        <w:rPr>
          <w:rFonts w:cs="Arial"/>
          <w:sz w:val="18"/>
          <w:szCs w:val="18"/>
        </w:rPr>
        <w:t>, Clause 3.</w:t>
      </w:r>
    </w:p>
  </w:footnote>
  <w:footnote w:id="28">
    <w:p w14:paraId="6DAE7657" w14:textId="0E1BDA61" w:rsidR="00923A14" w:rsidRPr="00805F04" w:rsidRDefault="00923A14">
      <w:pPr>
        <w:pStyle w:val="FootnoteText"/>
        <w:rPr>
          <w:sz w:val="18"/>
          <w:szCs w:val="18"/>
        </w:rPr>
      </w:pPr>
      <w:r w:rsidRPr="00805F04">
        <w:rPr>
          <w:rStyle w:val="FootnoteReference"/>
          <w:sz w:val="18"/>
          <w:szCs w:val="18"/>
        </w:rPr>
        <w:footnoteRef/>
      </w:r>
      <w:r w:rsidRPr="00805F04">
        <w:rPr>
          <w:sz w:val="18"/>
          <w:szCs w:val="18"/>
        </w:rPr>
        <w:t xml:space="preserve"> </w:t>
      </w:r>
      <w:hyperlink r:id="rId29" w:history="1">
        <w:proofErr w:type="spellStart"/>
        <w:r w:rsidRPr="00805F04">
          <w:rPr>
            <w:rStyle w:val="Hyperlink"/>
            <w:rFonts w:cs="Arial"/>
            <w:i/>
            <w:iCs/>
            <w:sz w:val="18"/>
            <w:szCs w:val="18"/>
          </w:rPr>
          <w:t>Brecknell</w:t>
        </w:r>
        <w:proofErr w:type="spellEnd"/>
        <w:r w:rsidRPr="00805F04">
          <w:rPr>
            <w:rStyle w:val="Hyperlink"/>
            <w:rFonts w:cs="Arial"/>
            <w:i/>
            <w:iCs/>
            <w:sz w:val="18"/>
            <w:szCs w:val="18"/>
          </w:rPr>
          <w:t xml:space="preserve"> v. the United Kingdom</w:t>
        </w:r>
        <w:r w:rsidRPr="00805F04">
          <w:rPr>
            <w:rStyle w:val="Hyperlink"/>
            <w:rFonts w:cs="Arial"/>
            <w:sz w:val="18"/>
            <w:szCs w:val="18"/>
          </w:rPr>
          <w:t>, no. 32457/04</w:t>
        </w:r>
      </w:hyperlink>
      <w:r w:rsidRPr="00805F04">
        <w:rPr>
          <w:rFonts w:cs="Arial"/>
          <w:sz w:val="18"/>
          <w:szCs w:val="18"/>
        </w:rPr>
        <w:t xml:space="preserve">, paras 67 and 71. The Court said: </w:t>
      </w:r>
      <w:r w:rsidRPr="00805F04">
        <w:rPr>
          <w:rFonts w:cs="Arial"/>
          <w:iCs/>
          <w:sz w:val="18"/>
          <w:szCs w:val="18"/>
        </w:rPr>
        <w:t xml:space="preserve">“[W]here there is a plausible, or credible, allegation, piece of evidence or item of information relevant to the identification, and eventual prosecution or punishment of the perpetrator of an unlawful killing, the authorities are under an obligation to take further investigative measures. The steps that it will be reasonable to take will vary considerably with the facts of the situation. The lapse of time </w:t>
      </w:r>
      <w:proofErr w:type="gramStart"/>
      <w:r w:rsidRPr="00805F04">
        <w:rPr>
          <w:rFonts w:cs="Arial"/>
          <w:iCs/>
          <w:sz w:val="18"/>
          <w:szCs w:val="18"/>
        </w:rPr>
        <w:t>will, inevitably, be</w:t>
      </w:r>
      <w:proofErr w:type="gramEnd"/>
      <w:r w:rsidRPr="00805F04">
        <w:rPr>
          <w:rFonts w:cs="Arial"/>
          <w:iCs/>
          <w:sz w:val="18"/>
          <w:szCs w:val="18"/>
        </w:rPr>
        <w:t xml:space="preserve"> an obstacle as regards, for example, the location of witnesses and the ability of witnesses to recall events reliably. Such an investigation may in some cases, reasonably, be restricted to verifying the credibility of the source, or of the purported new evidence.”</w:t>
      </w:r>
    </w:p>
  </w:footnote>
  <w:footnote w:id="29">
    <w:p w14:paraId="2941631C" w14:textId="6D0179F5" w:rsidR="00787D04" w:rsidRPr="00805F04" w:rsidRDefault="00787D04">
      <w:pPr>
        <w:pStyle w:val="FootnoteText"/>
        <w:rPr>
          <w:sz w:val="18"/>
        </w:rPr>
      </w:pPr>
      <w:r w:rsidRPr="00805F04">
        <w:rPr>
          <w:rStyle w:val="FootnoteReference"/>
          <w:sz w:val="18"/>
        </w:rPr>
        <w:footnoteRef/>
      </w:r>
      <w:r w:rsidRPr="00805F04">
        <w:rPr>
          <w:sz w:val="18"/>
        </w:rPr>
        <w:t xml:space="preserve"> </w:t>
      </w:r>
      <w:hyperlink r:id="rId30" w:history="1">
        <w:r w:rsidRPr="00805F04">
          <w:rPr>
            <w:rStyle w:val="Hyperlink"/>
            <w:sz w:val="18"/>
          </w:rPr>
          <w:t>Overseas Operations Bill</w:t>
        </w:r>
      </w:hyperlink>
      <w:r w:rsidRPr="00805F04">
        <w:rPr>
          <w:sz w:val="18"/>
        </w:rPr>
        <w:t>, Schedule 1.</w:t>
      </w:r>
    </w:p>
  </w:footnote>
  <w:footnote w:id="30">
    <w:p w14:paraId="59463E42" w14:textId="18275EF9" w:rsidR="00895887" w:rsidRPr="00805F04" w:rsidRDefault="00895887">
      <w:pPr>
        <w:pStyle w:val="FootnoteText"/>
      </w:pPr>
      <w:r w:rsidRPr="00805F04">
        <w:rPr>
          <w:rStyle w:val="FootnoteReference"/>
          <w:sz w:val="18"/>
        </w:rPr>
        <w:footnoteRef/>
      </w:r>
      <w:r w:rsidRPr="00805F04">
        <w:rPr>
          <w:sz w:val="18"/>
        </w:rPr>
        <w:t xml:space="preserve"> </w:t>
      </w:r>
      <w:r w:rsidR="009170C5" w:rsidRPr="00805F04">
        <w:rPr>
          <w:sz w:val="18"/>
        </w:rPr>
        <w:t xml:space="preserve">Hansard, </w:t>
      </w:r>
      <w:hyperlink r:id="rId31" w:anchor="contribution-9B08B44A-14E8-4CCA-B78C-D9A5DA7A478C" w:history="1">
        <w:r w:rsidR="009170C5" w:rsidRPr="00805F04">
          <w:rPr>
            <w:rStyle w:val="Hyperlink"/>
            <w:sz w:val="18"/>
          </w:rPr>
          <w:t>Overseas Operations (Service Personnel and Veterans) Bill Volume 680: debated on Wednesday 23 September 2020</w:t>
        </w:r>
      </w:hyperlink>
      <w:r w:rsidR="009170C5" w:rsidRPr="00805F04">
        <w:rPr>
          <w:sz w:val="18"/>
        </w:rPr>
        <w:t xml:space="preserve">, [accessed: 11 January 2021]; Hansard, </w:t>
      </w:r>
      <w:hyperlink r:id="rId32" w:anchor="contribution-7E190AED-7423-481F-9BE7-C49DAF4643FF" w:history="1">
        <w:r w:rsidR="009170C5" w:rsidRPr="00805F04">
          <w:rPr>
            <w:rStyle w:val="Hyperlink"/>
            <w:sz w:val="18"/>
          </w:rPr>
          <w:t>Overseas Operations (Service Personnel and Veterans) Bill (Sixth sitting) Debated on Wednesday 14 October 2020</w:t>
        </w:r>
      </w:hyperlink>
      <w:r w:rsidR="009170C5" w:rsidRPr="00805F04">
        <w:rPr>
          <w:sz w:val="18"/>
        </w:rPr>
        <w:t xml:space="preserve">, [accessed: 11 January 2021]; Hansard, </w:t>
      </w:r>
      <w:hyperlink r:id="rId33" w:anchor="contribution-9A0A834D-945F-4BD8-8285-1679A8BA7788" w:history="1">
        <w:r w:rsidR="009170C5" w:rsidRPr="00805F04">
          <w:rPr>
            <w:rStyle w:val="Hyperlink"/>
            <w:sz w:val="18"/>
          </w:rPr>
          <w:t>Overseas Operations (Service Personnel and Veterans) Bill (Seventh sitting) Debated on Tuesday 20 October 2020</w:t>
        </w:r>
      </w:hyperlink>
      <w:r w:rsidR="009170C5" w:rsidRPr="00805F04">
        <w:rPr>
          <w:sz w:val="18"/>
        </w:rPr>
        <w:t>, [accessed: 11 January 2021].</w:t>
      </w:r>
    </w:p>
  </w:footnote>
  <w:footnote w:id="31">
    <w:p w14:paraId="46E606D1" w14:textId="40BC63CD" w:rsidR="00A1186D" w:rsidRPr="00805F04" w:rsidRDefault="00A1186D">
      <w:pPr>
        <w:pStyle w:val="FootnoteText"/>
        <w:rPr>
          <w:sz w:val="18"/>
          <w:szCs w:val="18"/>
        </w:rPr>
      </w:pPr>
      <w:r w:rsidRPr="00805F04">
        <w:rPr>
          <w:rStyle w:val="FootnoteReference"/>
          <w:sz w:val="18"/>
        </w:rPr>
        <w:footnoteRef/>
      </w:r>
      <w:r w:rsidRPr="00805F04">
        <w:rPr>
          <w:sz w:val="18"/>
        </w:rPr>
        <w:t xml:space="preserve"> </w:t>
      </w:r>
      <w:r w:rsidR="00DF14DB" w:rsidRPr="00805F04">
        <w:rPr>
          <w:sz w:val="18"/>
        </w:rPr>
        <w:t xml:space="preserve">Hansard, </w:t>
      </w:r>
      <w:hyperlink r:id="rId34" w:anchor="contribution-E369BEB2-B0C1-4487-881B-F78853D8B9E6" w:history="1">
        <w:r w:rsidR="00DF14DB" w:rsidRPr="00805F04">
          <w:rPr>
            <w:rStyle w:val="Hyperlink"/>
            <w:sz w:val="18"/>
            <w:szCs w:val="18"/>
          </w:rPr>
          <w:t>Overseas Operations (Service Personnel and Veterans) Bill Volume 680: debated on Wednesday 23 September 2020</w:t>
        </w:r>
      </w:hyperlink>
      <w:r w:rsidR="00DF14DB" w:rsidRPr="00805F04">
        <w:rPr>
          <w:sz w:val="18"/>
          <w:szCs w:val="18"/>
        </w:rPr>
        <w:t>, [accessed</w:t>
      </w:r>
      <w:r w:rsidR="006C46B8" w:rsidRPr="00805F04">
        <w:rPr>
          <w:sz w:val="18"/>
          <w:szCs w:val="18"/>
        </w:rPr>
        <w:t>:</w:t>
      </w:r>
      <w:r w:rsidR="00DF14DB" w:rsidRPr="00805F04">
        <w:rPr>
          <w:sz w:val="18"/>
          <w:szCs w:val="18"/>
        </w:rPr>
        <w:t xml:space="preserve"> 11 January 2021]</w:t>
      </w:r>
      <w:r w:rsidR="004A74C5" w:rsidRPr="00805F04">
        <w:rPr>
          <w:sz w:val="18"/>
          <w:szCs w:val="18"/>
        </w:rPr>
        <w:t>;</w:t>
      </w:r>
      <w:r w:rsidR="006C46B8" w:rsidRPr="00805F04">
        <w:rPr>
          <w:sz w:val="18"/>
          <w:szCs w:val="18"/>
        </w:rPr>
        <w:t xml:space="preserve"> Hansard, </w:t>
      </w:r>
      <w:hyperlink r:id="rId35" w:anchor="contribution-A81C072E-150F-4FB3-A698-53D4F36A6EAE" w:history="1">
        <w:r w:rsidR="006C46B8" w:rsidRPr="00805F04">
          <w:rPr>
            <w:rStyle w:val="Hyperlink"/>
            <w:sz w:val="18"/>
            <w:szCs w:val="18"/>
          </w:rPr>
          <w:t>Overseas Operations (Service Personnel and Veterans) Bill (Sixth sitting) Debated on Wednesday 14 October 2020</w:t>
        </w:r>
      </w:hyperlink>
      <w:r w:rsidR="006C46B8" w:rsidRPr="00805F04">
        <w:rPr>
          <w:sz w:val="18"/>
          <w:szCs w:val="18"/>
        </w:rPr>
        <w:t>, [accessed: 11 January 2021];</w:t>
      </w:r>
      <w:r w:rsidR="004A74C5" w:rsidRPr="00805F04">
        <w:rPr>
          <w:sz w:val="18"/>
          <w:szCs w:val="18"/>
        </w:rPr>
        <w:t xml:space="preserve"> Hansard, </w:t>
      </w:r>
      <w:hyperlink r:id="rId36" w:anchor="contribution-2D63B501-F0B6-415E-B35E-F182E67EEE89" w:history="1">
        <w:r w:rsidR="004A74C5" w:rsidRPr="00805F04">
          <w:rPr>
            <w:rStyle w:val="Hyperlink"/>
            <w:sz w:val="18"/>
            <w:szCs w:val="18"/>
          </w:rPr>
          <w:t>Overseas Operations (Service Personnel and Veterans) Bill (Seventh sitting) Debated on Tuesday 20 October 2020</w:t>
        </w:r>
      </w:hyperlink>
      <w:r w:rsidR="00CE1482" w:rsidRPr="00805F04">
        <w:rPr>
          <w:sz w:val="18"/>
          <w:szCs w:val="18"/>
        </w:rPr>
        <w:t>,</w:t>
      </w:r>
      <w:r w:rsidR="004A74C5" w:rsidRPr="00805F04">
        <w:rPr>
          <w:sz w:val="18"/>
          <w:szCs w:val="18"/>
        </w:rPr>
        <w:t xml:space="preserve"> [accessed</w:t>
      </w:r>
      <w:r w:rsidR="006C46B8" w:rsidRPr="00805F04">
        <w:rPr>
          <w:sz w:val="18"/>
          <w:szCs w:val="18"/>
        </w:rPr>
        <w:t>:</w:t>
      </w:r>
      <w:r w:rsidR="004A74C5" w:rsidRPr="00805F04">
        <w:rPr>
          <w:sz w:val="18"/>
          <w:szCs w:val="18"/>
        </w:rPr>
        <w:t xml:space="preserve"> 11 January 2021]. </w:t>
      </w:r>
    </w:p>
  </w:footnote>
  <w:footnote w:id="32">
    <w:p w14:paraId="70FD9CBE" w14:textId="09F23CDF" w:rsidR="006D11E2" w:rsidRPr="00805F04" w:rsidRDefault="006D11E2">
      <w:pPr>
        <w:pStyle w:val="FootnoteText"/>
        <w:rPr>
          <w:sz w:val="18"/>
          <w:szCs w:val="18"/>
        </w:rPr>
      </w:pPr>
      <w:r w:rsidRPr="00805F04">
        <w:rPr>
          <w:rStyle w:val="FootnoteReference"/>
          <w:sz w:val="18"/>
          <w:szCs w:val="18"/>
        </w:rPr>
        <w:footnoteRef/>
      </w:r>
      <w:r w:rsidR="00E32F97" w:rsidRPr="00805F04">
        <w:rPr>
          <w:sz w:val="18"/>
          <w:szCs w:val="18"/>
        </w:rPr>
        <w:t xml:space="preserve"> </w:t>
      </w:r>
      <w:proofErr w:type="spellStart"/>
      <w:r w:rsidR="00E32F97" w:rsidRPr="00805F04">
        <w:rPr>
          <w:sz w:val="18"/>
          <w:szCs w:val="18"/>
        </w:rPr>
        <w:t>ECtHR</w:t>
      </w:r>
      <w:proofErr w:type="spellEnd"/>
      <w:r w:rsidR="00E32F97" w:rsidRPr="00805F04">
        <w:rPr>
          <w:sz w:val="18"/>
          <w:szCs w:val="18"/>
        </w:rPr>
        <w:t>,</w:t>
      </w:r>
      <w:r w:rsidRPr="00805F04">
        <w:rPr>
          <w:sz w:val="18"/>
          <w:szCs w:val="18"/>
        </w:rPr>
        <w:t xml:space="preserve"> </w:t>
      </w:r>
      <w:hyperlink r:id="rId37" w:history="1">
        <w:r w:rsidR="00E32F97" w:rsidRPr="00805F04">
          <w:rPr>
            <w:rStyle w:val="Hyperlink"/>
            <w:rFonts w:cs="Arial"/>
            <w:iCs/>
            <w:sz w:val="18"/>
            <w:szCs w:val="18"/>
          </w:rPr>
          <w:t>El-</w:t>
        </w:r>
        <w:proofErr w:type="spellStart"/>
        <w:r w:rsidR="00E32F97" w:rsidRPr="00805F04">
          <w:rPr>
            <w:rStyle w:val="Hyperlink"/>
            <w:rFonts w:cs="Arial"/>
            <w:iCs/>
            <w:sz w:val="18"/>
            <w:szCs w:val="18"/>
          </w:rPr>
          <w:t>Masri</w:t>
        </w:r>
        <w:proofErr w:type="spellEnd"/>
        <w:r w:rsidR="00E32F97" w:rsidRPr="00805F04">
          <w:rPr>
            <w:rStyle w:val="Hyperlink"/>
            <w:rFonts w:cs="Arial"/>
            <w:iCs/>
            <w:sz w:val="18"/>
            <w:szCs w:val="18"/>
          </w:rPr>
          <w:t xml:space="preserve"> v The former Yugoslav Republic of Macedonia</w:t>
        </w:r>
      </w:hyperlink>
      <w:r w:rsidR="00E32F97" w:rsidRPr="00805F04">
        <w:rPr>
          <w:rFonts w:cs="Arial"/>
          <w:iCs/>
          <w:sz w:val="18"/>
          <w:szCs w:val="18"/>
        </w:rPr>
        <w:t xml:space="preserve">, para. 197. </w:t>
      </w:r>
    </w:p>
  </w:footnote>
  <w:footnote w:id="33">
    <w:p w14:paraId="66E270B4" w14:textId="1F05087F" w:rsidR="006D11E2" w:rsidRPr="00805F04" w:rsidRDefault="006D11E2">
      <w:pPr>
        <w:pStyle w:val="FootnoteText"/>
        <w:rPr>
          <w:sz w:val="18"/>
          <w:szCs w:val="18"/>
        </w:rPr>
      </w:pPr>
      <w:r w:rsidRPr="00805F04">
        <w:rPr>
          <w:rStyle w:val="FootnoteReference"/>
          <w:sz w:val="18"/>
          <w:szCs w:val="18"/>
        </w:rPr>
        <w:footnoteRef/>
      </w:r>
      <w:r w:rsidRPr="00805F04">
        <w:rPr>
          <w:sz w:val="18"/>
          <w:szCs w:val="18"/>
        </w:rPr>
        <w:t xml:space="preserve"> </w:t>
      </w:r>
      <w:hyperlink w:anchor="_Hlk61339215" w:history="1" w:docLocation="3,13225,13313,29,,Convention against Torture and O">
        <w:r w:rsidR="00E32F97" w:rsidRPr="00805F04">
          <w:rPr>
            <w:rStyle w:val="Hyperlink"/>
            <w:sz w:val="18"/>
            <w:szCs w:val="18"/>
          </w:rPr>
          <w:t>Convention against Torture and Other Cruel, Inhuman or Degrading Treatment or Punishment</w:t>
        </w:r>
      </w:hyperlink>
      <w:r w:rsidR="00E32F97" w:rsidRPr="00805F04">
        <w:rPr>
          <w:sz w:val="18"/>
          <w:szCs w:val="18"/>
        </w:rPr>
        <w:t>, Article 1</w:t>
      </w:r>
      <w:proofErr w:type="gramStart"/>
      <w:r w:rsidR="00E32F97" w:rsidRPr="00805F04">
        <w:rPr>
          <w:sz w:val="18"/>
          <w:szCs w:val="18"/>
        </w:rPr>
        <w:t>..</w:t>
      </w:r>
      <w:proofErr w:type="gramEnd"/>
    </w:p>
  </w:footnote>
  <w:footnote w:id="34">
    <w:p w14:paraId="52F3D0B5" w14:textId="6877073B" w:rsidR="0088503D" w:rsidRPr="00805F04" w:rsidRDefault="0088503D">
      <w:pPr>
        <w:pStyle w:val="FootnoteText"/>
        <w:rPr>
          <w:sz w:val="18"/>
          <w:szCs w:val="18"/>
        </w:rPr>
      </w:pPr>
      <w:r w:rsidRPr="00805F04">
        <w:rPr>
          <w:rStyle w:val="FootnoteReference"/>
          <w:sz w:val="18"/>
          <w:szCs w:val="18"/>
        </w:rPr>
        <w:footnoteRef/>
      </w:r>
      <w:r w:rsidRPr="00805F04">
        <w:rPr>
          <w:sz w:val="18"/>
          <w:szCs w:val="18"/>
        </w:rPr>
        <w:t xml:space="preserve"> </w:t>
      </w:r>
      <w:hyperlink r:id="rId38" w:history="1">
        <w:r w:rsidRPr="00805F04">
          <w:rPr>
            <w:rStyle w:val="Hyperlink"/>
            <w:sz w:val="18"/>
            <w:szCs w:val="18"/>
          </w:rPr>
          <w:t>Convention on the Prevention and Punishment of the Crime of Genocide</w:t>
        </w:r>
      </w:hyperlink>
      <w:r w:rsidRPr="00805F04">
        <w:rPr>
          <w:sz w:val="18"/>
          <w:szCs w:val="18"/>
        </w:rPr>
        <w:t xml:space="preserve">, Article II. </w:t>
      </w:r>
      <w:r w:rsidR="00C65D82" w:rsidRPr="00805F04">
        <w:rPr>
          <w:sz w:val="18"/>
          <w:szCs w:val="18"/>
        </w:rPr>
        <w:t xml:space="preserve">Other </w:t>
      </w:r>
      <w:proofErr w:type="gramStart"/>
      <w:r w:rsidR="00C65D82" w:rsidRPr="00805F04">
        <w:rPr>
          <w:sz w:val="18"/>
          <w:szCs w:val="18"/>
        </w:rPr>
        <w:t>acts which can amount to genocide if perpetrated in these circumstances</w:t>
      </w:r>
      <w:proofErr w:type="gramEnd"/>
      <w:r w:rsidR="00C65D82" w:rsidRPr="00805F04">
        <w:rPr>
          <w:sz w:val="18"/>
          <w:szCs w:val="18"/>
        </w:rPr>
        <w:t xml:space="preserve"> include: </w:t>
      </w:r>
      <w:r w:rsidR="00B04F3E" w:rsidRPr="00805F04">
        <w:rPr>
          <w:sz w:val="18"/>
          <w:szCs w:val="18"/>
        </w:rPr>
        <w:t>Deliberately inflicting on the group conditions of life calculated to bring about its physical destruction in whole or in part; Imposing measures intended to prevent births within the group; and Forcibly transferring children of the group to another group.</w:t>
      </w:r>
    </w:p>
  </w:footnote>
  <w:footnote w:id="35">
    <w:p w14:paraId="48DB6C54" w14:textId="744E8AA3" w:rsidR="00C65D82" w:rsidRPr="00805F04" w:rsidRDefault="00C65D82">
      <w:pPr>
        <w:pStyle w:val="FootnoteText"/>
      </w:pPr>
      <w:r w:rsidRPr="00805F04">
        <w:rPr>
          <w:rStyle w:val="FootnoteReference"/>
          <w:sz w:val="18"/>
          <w:szCs w:val="18"/>
        </w:rPr>
        <w:footnoteRef/>
      </w:r>
      <w:r w:rsidRPr="00805F04">
        <w:rPr>
          <w:sz w:val="18"/>
          <w:szCs w:val="18"/>
        </w:rPr>
        <w:t xml:space="preserve"> </w:t>
      </w:r>
      <w:hyperlink r:id="rId39" w:history="1">
        <w:r w:rsidR="00B04F3E" w:rsidRPr="00805F04">
          <w:rPr>
            <w:rStyle w:val="Hyperlink"/>
            <w:sz w:val="18"/>
            <w:szCs w:val="18"/>
          </w:rPr>
          <w:t>Rome Statute of the International Criminal Court</w:t>
        </w:r>
      </w:hyperlink>
      <w:r w:rsidR="00B04F3E" w:rsidRPr="00805F04">
        <w:rPr>
          <w:sz w:val="18"/>
          <w:szCs w:val="18"/>
        </w:rPr>
        <w:t>, Article 7 (1).</w:t>
      </w:r>
    </w:p>
  </w:footnote>
  <w:footnote w:id="36">
    <w:p w14:paraId="0C21F03A" w14:textId="2CADFD40" w:rsidR="00C65D82" w:rsidRPr="00805F04" w:rsidRDefault="00C65D82">
      <w:pPr>
        <w:pStyle w:val="FootnoteText"/>
        <w:rPr>
          <w:sz w:val="18"/>
          <w:szCs w:val="18"/>
        </w:rPr>
      </w:pPr>
      <w:r w:rsidRPr="00805F04">
        <w:rPr>
          <w:rStyle w:val="FootnoteReference"/>
          <w:sz w:val="18"/>
          <w:szCs w:val="18"/>
        </w:rPr>
        <w:footnoteRef/>
      </w:r>
      <w:r w:rsidRPr="00805F04">
        <w:rPr>
          <w:sz w:val="18"/>
          <w:szCs w:val="18"/>
        </w:rPr>
        <w:t xml:space="preserve"> </w:t>
      </w:r>
      <w:hyperlink r:id="rId40" w:history="1">
        <w:r w:rsidR="00B04F3E" w:rsidRPr="00805F04">
          <w:rPr>
            <w:rStyle w:val="Hyperlink"/>
            <w:sz w:val="18"/>
            <w:szCs w:val="18"/>
          </w:rPr>
          <w:t>Rome Statute of the International Criminal Court</w:t>
        </w:r>
      </w:hyperlink>
      <w:r w:rsidR="00B04F3E" w:rsidRPr="00805F04">
        <w:rPr>
          <w:sz w:val="18"/>
          <w:szCs w:val="18"/>
        </w:rPr>
        <w:t xml:space="preserve">, Article 7(1). </w:t>
      </w:r>
      <w:proofErr w:type="gramStart"/>
      <w:r w:rsidR="00B04F3E" w:rsidRPr="00805F04">
        <w:rPr>
          <w:sz w:val="18"/>
          <w:szCs w:val="18"/>
        </w:rPr>
        <w:t xml:space="preserve">Other acts which can amount to crimes against humanity in these circumstances include: Extermination; Imprisonment or other severe deprivation of physical liberty in violation of fundamental rules of international law; Torture; Rape, sexual slavery, enforced prostitution, forced pregnancy, enforced sterilization, or any other form of sexual violence of comparable gravity; Persecution against any identifiable group or </w:t>
      </w:r>
      <w:proofErr w:type="spellStart"/>
      <w:r w:rsidR="00B04F3E" w:rsidRPr="00805F04">
        <w:rPr>
          <w:sz w:val="18"/>
          <w:szCs w:val="18"/>
        </w:rPr>
        <w:t>collectivity</w:t>
      </w:r>
      <w:proofErr w:type="spellEnd"/>
      <w:r w:rsidR="00B04F3E" w:rsidRPr="00805F04">
        <w:rPr>
          <w:sz w:val="18"/>
          <w:szCs w:val="18"/>
        </w:rPr>
        <w:t xml:space="preserve">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Enforced disappearance of persons; The crime of apartheid; Other inhumane acts of a similar character intentionally causing great suffering, or serious injury to body or to mental or physical health.</w:t>
      </w:r>
      <w:proofErr w:type="gramEnd"/>
    </w:p>
  </w:footnote>
  <w:footnote w:id="37">
    <w:p w14:paraId="20B5D2DA" w14:textId="5478CB81" w:rsidR="00322D46" w:rsidRPr="00805F04" w:rsidRDefault="00322D46">
      <w:pPr>
        <w:pStyle w:val="FootnoteText"/>
      </w:pPr>
      <w:r w:rsidRPr="00805F04">
        <w:rPr>
          <w:rStyle w:val="FootnoteReference"/>
        </w:rPr>
        <w:footnoteRef/>
      </w:r>
      <w:r w:rsidRPr="00805F04">
        <w:t xml:space="preserve"> </w:t>
      </w:r>
      <w:hyperlink r:id="rId41" w:history="1">
        <w:r w:rsidRPr="00805F04">
          <w:rPr>
            <w:rStyle w:val="Hyperlink"/>
            <w:sz w:val="18"/>
            <w:szCs w:val="18"/>
          </w:rPr>
          <w:t>Rome Statute of the International Criminal Court</w:t>
        </w:r>
      </w:hyperlink>
      <w:r w:rsidRPr="00805F04">
        <w:rPr>
          <w:sz w:val="18"/>
          <w:szCs w:val="18"/>
        </w:rPr>
        <w:t xml:space="preserve">, Article 8. </w:t>
      </w:r>
    </w:p>
  </w:footnote>
  <w:footnote w:id="38">
    <w:p w14:paraId="1AA22F6C" w14:textId="378D0B3B" w:rsidR="00C23FFD" w:rsidRDefault="00C23FFD">
      <w:pPr>
        <w:pStyle w:val="FootnoteText"/>
      </w:pPr>
      <w:r w:rsidRPr="00805F04">
        <w:rPr>
          <w:rStyle w:val="FootnoteReference"/>
        </w:rPr>
        <w:footnoteRef/>
      </w:r>
      <w:r w:rsidRPr="00805F04">
        <w:t xml:space="preserve"> </w:t>
      </w:r>
      <w:hyperlink r:id="rId42" w:history="1">
        <w:r w:rsidRPr="00805F04">
          <w:rPr>
            <w:rStyle w:val="Hyperlink"/>
            <w:sz w:val="18"/>
            <w:szCs w:val="18"/>
          </w:rPr>
          <w:t>Rome Statute of the International Criminal Court</w:t>
        </w:r>
      </w:hyperlink>
      <w:r w:rsidRPr="00805F04">
        <w:rPr>
          <w:sz w:val="18"/>
          <w:szCs w:val="18"/>
        </w:rPr>
        <w:t xml:space="preserve">, Article 8. Other </w:t>
      </w:r>
      <w:proofErr w:type="gramStart"/>
      <w:r w:rsidRPr="00805F04">
        <w:rPr>
          <w:sz w:val="18"/>
          <w:szCs w:val="18"/>
        </w:rPr>
        <w:t>acts which amount to war crimes in these circumstances</w:t>
      </w:r>
      <w:proofErr w:type="gramEnd"/>
      <w:r w:rsidRPr="00805F04">
        <w:rPr>
          <w:sz w:val="18"/>
          <w:szCs w:val="18"/>
        </w:rPr>
        <w:t xml:space="preserve"> are listed in Article 8(2). </w:t>
      </w:r>
      <w:r>
        <w:t xml:space="preserve"> </w:t>
      </w:r>
    </w:p>
  </w:footnote>
  <w:footnote w:id="39">
    <w:p w14:paraId="46BE82FC" w14:textId="235DD849" w:rsidR="00923A14" w:rsidRPr="00B04F3E" w:rsidRDefault="00923A14">
      <w:pPr>
        <w:pStyle w:val="FootnoteText"/>
        <w:rPr>
          <w:sz w:val="18"/>
          <w:szCs w:val="18"/>
        </w:rPr>
      </w:pPr>
      <w:r w:rsidRPr="00B04F3E">
        <w:rPr>
          <w:rStyle w:val="FootnoteReference"/>
          <w:sz w:val="18"/>
          <w:szCs w:val="18"/>
        </w:rPr>
        <w:footnoteRef/>
      </w:r>
      <w:r w:rsidRPr="00B04F3E">
        <w:rPr>
          <w:sz w:val="18"/>
          <w:szCs w:val="18"/>
        </w:rPr>
        <w:t xml:space="preserve"> </w:t>
      </w:r>
      <w:hyperlink r:id="rId43" w:history="1">
        <w:r w:rsidRPr="00B04F3E">
          <w:rPr>
            <w:rStyle w:val="Hyperlink"/>
            <w:rFonts w:cs="Arial"/>
            <w:sz w:val="18"/>
            <w:szCs w:val="18"/>
          </w:rPr>
          <w:t>Overseas Operations (Service Personnel and Veterans) Bill (HC Bill 117)</w:t>
        </w:r>
      </w:hyperlink>
      <w:r w:rsidRPr="00B04F3E">
        <w:rPr>
          <w:rFonts w:cs="Arial"/>
          <w:sz w:val="18"/>
          <w:szCs w:val="18"/>
        </w:rPr>
        <w:t>, Clause 8-10 and Schedules 2-4.The Bill prescribes that a court or tribunal can only exercise its discretion to extend the time limit up to a maximum of six years after the cause of action accrued or an individual became aware that a cause of action had accrued.</w:t>
      </w:r>
    </w:p>
  </w:footnote>
  <w:footnote w:id="40">
    <w:p w14:paraId="5120BDB9" w14:textId="0E769978" w:rsidR="00923A14" w:rsidRPr="00790877" w:rsidRDefault="00923A14">
      <w:pPr>
        <w:pStyle w:val="FootnoteText"/>
        <w:rPr>
          <w:sz w:val="18"/>
          <w:szCs w:val="18"/>
        </w:rPr>
      </w:pPr>
      <w:r w:rsidRPr="00B04F3E">
        <w:rPr>
          <w:rStyle w:val="FootnoteReference"/>
          <w:sz w:val="18"/>
          <w:szCs w:val="18"/>
        </w:rPr>
        <w:footnoteRef/>
      </w:r>
      <w:r w:rsidRPr="00B04F3E">
        <w:rPr>
          <w:sz w:val="18"/>
          <w:szCs w:val="18"/>
        </w:rPr>
        <w:t xml:space="preserve"> </w:t>
      </w:r>
      <w:hyperlink r:id="rId44" w:history="1">
        <w:r w:rsidRPr="00B04F3E">
          <w:rPr>
            <w:rStyle w:val="Hyperlink"/>
            <w:rFonts w:cs="Arial"/>
            <w:sz w:val="18"/>
            <w:szCs w:val="18"/>
          </w:rPr>
          <w:t>Overseas Operations (Service Personnel and Veterans) Bill (HC Bill 117)</w:t>
        </w:r>
      </w:hyperlink>
      <w:r w:rsidRPr="00B04F3E">
        <w:rPr>
          <w:rFonts w:cs="Arial"/>
          <w:sz w:val="18"/>
          <w:szCs w:val="18"/>
        </w:rPr>
        <w:t>, Clause 11.d</w:t>
      </w:r>
    </w:p>
  </w:footnote>
  <w:footnote w:id="41">
    <w:p w14:paraId="2C68D826" w14:textId="1769E7E3" w:rsidR="00923A14" w:rsidRPr="00790877" w:rsidRDefault="00923A14">
      <w:pPr>
        <w:pStyle w:val="FootnoteText"/>
        <w:rPr>
          <w:rFonts w:cs="Arial"/>
          <w:sz w:val="18"/>
          <w:szCs w:val="18"/>
        </w:rPr>
      </w:pPr>
      <w:r w:rsidRPr="00790877">
        <w:rPr>
          <w:rStyle w:val="FootnoteReference"/>
          <w:sz w:val="18"/>
          <w:szCs w:val="18"/>
        </w:rPr>
        <w:footnoteRef/>
      </w:r>
      <w:r w:rsidRPr="00790877">
        <w:rPr>
          <w:sz w:val="18"/>
          <w:szCs w:val="18"/>
        </w:rPr>
        <w:t xml:space="preserve"> </w:t>
      </w:r>
      <w:hyperlink r:id="rId45" w:history="1">
        <w:r w:rsidRPr="00790877">
          <w:rPr>
            <w:rStyle w:val="Hyperlink"/>
            <w:rFonts w:cs="Arial"/>
            <w:sz w:val="18"/>
            <w:szCs w:val="18"/>
          </w:rPr>
          <w:t>Overseas Operations (Service Personnel and Veterans) Bill (HC Bill 117)</w:t>
        </w:r>
      </w:hyperlink>
      <w:r w:rsidRPr="00790877">
        <w:rPr>
          <w:rFonts w:cs="Arial"/>
          <w:sz w:val="18"/>
          <w:szCs w:val="18"/>
        </w:rPr>
        <w:t>, Clause 11.</w:t>
      </w:r>
    </w:p>
  </w:footnote>
  <w:footnote w:id="42">
    <w:p w14:paraId="0B639D91" w14:textId="3C5AD604" w:rsidR="00923A14" w:rsidRPr="007A6BFB" w:rsidRDefault="00923A14">
      <w:pPr>
        <w:pStyle w:val="FootnoteText"/>
        <w:rPr>
          <w:rFonts w:cs="Arial"/>
          <w:sz w:val="18"/>
          <w:szCs w:val="18"/>
        </w:rPr>
      </w:pPr>
      <w:r w:rsidRPr="00790877">
        <w:rPr>
          <w:rStyle w:val="FootnoteReference"/>
          <w:sz w:val="18"/>
          <w:szCs w:val="18"/>
        </w:rPr>
        <w:footnoteRef/>
      </w:r>
      <w:r w:rsidRPr="00790877">
        <w:rPr>
          <w:sz w:val="18"/>
          <w:szCs w:val="18"/>
        </w:rPr>
        <w:t xml:space="preserve"> </w:t>
      </w:r>
      <w:r w:rsidRPr="00790877">
        <w:rPr>
          <w:rFonts w:cs="Arial"/>
          <w:sz w:val="18"/>
          <w:szCs w:val="18"/>
        </w:rPr>
        <w:t xml:space="preserve">Human rights violations during overseas operations may arise from policy decisions directed by senior members of the armed forces or Government, rather than individual service personnel, and evidence of these violations may not surface until years later. For example, in </w:t>
      </w:r>
      <w:proofErr w:type="gramStart"/>
      <w:r w:rsidRPr="00790877">
        <w:rPr>
          <w:rFonts w:cs="Arial"/>
          <w:sz w:val="18"/>
          <w:szCs w:val="18"/>
        </w:rPr>
        <w:t>2018</w:t>
      </w:r>
      <w:proofErr w:type="gramEnd"/>
      <w:r w:rsidRPr="00790877">
        <w:rPr>
          <w:rFonts w:cs="Arial"/>
          <w:sz w:val="18"/>
          <w:szCs w:val="18"/>
        </w:rPr>
        <w:t xml:space="preserve"> the Intelligence and Security Committee of Parliament identified a ‘corporate policy’ by MI5 and the Secret Intelligence Service of facilitating the rendition of prisoners captured in 2001. See: Intelligence and Security Committee of Parliament (June 2018), </w:t>
      </w:r>
      <w:hyperlink r:id="rId46" w:history="1">
        <w:r w:rsidRPr="00790877">
          <w:rPr>
            <w:rStyle w:val="Hyperlink"/>
            <w:rFonts w:cs="Arial"/>
            <w:sz w:val="18"/>
            <w:szCs w:val="18"/>
          </w:rPr>
          <w:t>Detainee Mistreatment and Rendition: 2001-2010</w:t>
        </w:r>
      </w:hyperlink>
      <w:r w:rsidRPr="00790877">
        <w:rPr>
          <w:rFonts w:cs="Arial"/>
          <w:sz w:val="18"/>
          <w:szCs w:val="18"/>
        </w:rPr>
        <w:t xml:space="preserve">, p. 88 [accessed </w:t>
      </w:r>
      <w:r w:rsidR="001C67C0">
        <w:rPr>
          <w:rFonts w:cs="Arial"/>
          <w:sz w:val="18"/>
          <w:szCs w:val="18"/>
        </w:rPr>
        <w:t>11 January 2021</w:t>
      </w:r>
      <w:r w:rsidRPr="00790877">
        <w:rPr>
          <w:rFonts w:cs="Arial"/>
          <w:sz w:val="18"/>
          <w:szCs w:val="18"/>
        </w:rPr>
        <w:t>].</w:t>
      </w:r>
    </w:p>
  </w:footnote>
  <w:footnote w:id="43">
    <w:p w14:paraId="02E423C0" w14:textId="13630670"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Including the very essence of the right to access to a court. See: </w:t>
      </w:r>
      <w:hyperlink r:id="rId47" w:history="1">
        <w:proofErr w:type="spellStart"/>
        <w:r w:rsidRPr="00790877">
          <w:rPr>
            <w:rStyle w:val="Hyperlink"/>
            <w:rFonts w:cs="Arial"/>
            <w:iCs/>
            <w:sz w:val="18"/>
            <w:szCs w:val="18"/>
          </w:rPr>
          <w:t>Ashingdane</w:t>
        </w:r>
        <w:proofErr w:type="spellEnd"/>
        <w:r w:rsidRPr="00790877">
          <w:rPr>
            <w:rStyle w:val="Hyperlink"/>
            <w:rFonts w:cs="Arial"/>
            <w:iCs/>
            <w:sz w:val="18"/>
            <w:szCs w:val="18"/>
          </w:rPr>
          <w:t xml:space="preserve"> v. the United Kingdom</w:t>
        </w:r>
        <w:r w:rsidRPr="00790877">
          <w:rPr>
            <w:rStyle w:val="Hyperlink"/>
            <w:rFonts w:cs="Arial"/>
            <w:sz w:val="18"/>
            <w:szCs w:val="18"/>
          </w:rPr>
          <w:t xml:space="preserve">, no. </w:t>
        </w:r>
        <w:r w:rsidRPr="00790877">
          <w:rPr>
            <w:rStyle w:val="Hyperlink"/>
            <w:rFonts w:cs="Arial"/>
            <w:iCs/>
            <w:sz w:val="18"/>
            <w:szCs w:val="18"/>
          </w:rPr>
          <w:t>8225/78</w:t>
        </w:r>
      </w:hyperlink>
      <w:r w:rsidRPr="00790877">
        <w:rPr>
          <w:rFonts w:cs="Arial"/>
          <w:sz w:val="18"/>
          <w:szCs w:val="18"/>
        </w:rPr>
        <w:t xml:space="preserve">, para 57. The </w:t>
      </w:r>
      <w:proofErr w:type="spellStart"/>
      <w:r w:rsidRPr="00790877">
        <w:rPr>
          <w:rFonts w:cs="Arial"/>
          <w:sz w:val="18"/>
          <w:szCs w:val="18"/>
        </w:rPr>
        <w:t>ECtHR</w:t>
      </w:r>
      <w:proofErr w:type="spellEnd"/>
      <w:r w:rsidRPr="00790877">
        <w:rPr>
          <w:rFonts w:cs="Arial"/>
          <w:sz w:val="18"/>
          <w:szCs w:val="18"/>
        </w:rPr>
        <w:t xml:space="preserve"> has stipulated that an absolute limitation period must not impair the very essence of the right to a court.</w:t>
      </w:r>
    </w:p>
  </w:footnote>
  <w:footnote w:id="44">
    <w:p w14:paraId="4600C0C6" w14:textId="6F4FBF04" w:rsidR="00923A14" w:rsidRDefault="00923A14">
      <w:pPr>
        <w:pStyle w:val="FootnoteText"/>
      </w:pPr>
      <w:r>
        <w:rPr>
          <w:rStyle w:val="FootnoteReference"/>
        </w:rPr>
        <w:footnoteRef/>
      </w:r>
      <w:r>
        <w:t xml:space="preserve"> </w:t>
      </w:r>
      <w:r w:rsidRPr="00D939BC">
        <w:rPr>
          <w:rFonts w:cs="Arial"/>
          <w:sz w:val="18"/>
          <w:szCs w:val="18"/>
        </w:rPr>
        <w:t xml:space="preserve">As of November 2016, the Ministry of Defence had paid </w:t>
      </w:r>
      <w:r w:rsidRPr="00D939BC">
        <w:rPr>
          <w:rFonts w:cs="Arial"/>
          <w:bCs/>
          <w:sz w:val="18"/>
          <w:szCs w:val="18"/>
        </w:rPr>
        <w:t>£21.8 million in settlements to Iraqi complainants, amounting to just one third of the compensation they paid to their own personnel and employees in a single year</w:t>
      </w:r>
      <w:r w:rsidRPr="00D939BC">
        <w:rPr>
          <w:rFonts w:cs="Arial"/>
          <w:sz w:val="18"/>
          <w:szCs w:val="18"/>
        </w:rPr>
        <w:t xml:space="preserve">. See: </w:t>
      </w:r>
      <w:hyperlink r:id="rId48" w:anchor="_ftn14" w:history="1">
        <w:r w:rsidRPr="00D939BC">
          <w:rPr>
            <w:rStyle w:val="Hyperlink"/>
            <w:rFonts w:cs="Arial"/>
            <w:bCs/>
            <w:sz w:val="18"/>
            <w:szCs w:val="18"/>
          </w:rPr>
          <w:t>Written submission from the Bingham Centre for the Rule of Law to the Joint Committee on Human Rights (DRO0011)</w:t>
        </w:r>
      </w:hyperlink>
      <w:r w:rsidRPr="00D939BC">
        <w:rPr>
          <w:rFonts w:cs="Arial"/>
          <w:bCs/>
          <w:sz w:val="18"/>
          <w:szCs w:val="18"/>
        </w:rPr>
        <w:t xml:space="preserve"> (March 2017),</w:t>
      </w:r>
      <w:r w:rsidRPr="00D939BC">
        <w:rPr>
          <w:rFonts w:cs="Arial"/>
          <w:sz w:val="18"/>
          <w:szCs w:val="18"/>
        </w:rPr>
        <w:t xml:space="preserve"> para. 7.</w:t>
      </w:r>
    </w:p>
  </w:footnote>
  <w:footnote w:id="45">
    <w:p w14:paraId="3BDB8DEC" w14:textId="70B6C7C8" w:rsidR="00923A14" w:rsidRDefault="00923A14">
      <w:pPr>
        <w:pStyle w:val="FootnoteText"/>
      </w:pPr>
      <w:r>
        <w:rPr>
          <w:rStyle w:val="FootnoteReference"/>
        </w:rPr>
        <w:footnoteRef/>
      </w:r>
      <w:r>
        <w:t xml:space="preserve"> </w:t>
      </w:r>
      <w:r w:rsidRPr="00D939BC">
        <w:rPr>
          <w:rFonts w:cs="Arial"/>
          <w:sz w:val="18"/>
          <w:szCs w:val="18"/>
        </w:rPr>
        <w:t>UK Parliament (16 July 2020), ‘</w:t>
      </w:r>
      <w:hyperlink r:id="rId49" w:history="1">
        <w:r w:rsidRPr="00D939BC">
          <w:rPr>
            <w:rStyle w:val="Hyperlink"/>
            <w:rFonts w:cs="Arial"/>
            <w:sz w:val="18"/>
            <w:szCs w:val="18"/>
          </w:rPr>
          <w:t>Urgent question: Civil liability claims against MoD from British troops overseas</w:t>
        </w:r>
      </w:hyperlink>
      <w:r w:rsidRPr="00D939BC">
        <w:rPr>
          <w:rFonts w:cs="Arial"/>
          <w:sz w:val="18"/>
          <w:szCs w:val="18"/>
        </w:rPr>
        <w:t>’ [accessed 19 August 2020].</w:t>
      </w:r>
    </w:p>
  </w:footnote>
  <w:footnote w:id="46">
    <w:p w14:paraId="54ACACAF" w14:textId="31468719" w:rsidR="00923A14" w:rsidRPr="007327C7" w:rsidRDefault="00923A14" w:rsidP="00923A14">
      <w:pPr>
        <w:pStyle w:val="FootnoteText"/>
        <w:rPr>
          <w:rFonts w:cs="Arial"/>
          <w:sz w:val="18"/>
          <w:szCs w:val="18"/>
        </w:rPr>
      </w:pPr>
      <w:r w:rsidRPr="007327C7">
        <w:rPr>
          <w:rStyle w:val="FootnoteReference"/>
          <w:rFonts w:cs="Arial"/>
          <w:sz w:val="18"/>
          <w:szCs w:val="18"/>
        </w:rPr>
        <w:footnoteRef/>
      </w:r>
      <w:r w:rsidRPr="007327C7">
        <w:rPr>
          <w:rFonts w:cs="Arial"/>
          <w:sz w:val="18"/>
          <w:szCs w:val="18"/>
        </w:rPr>
        <w:t xml:space="preserve"> Ministry of Defence (18 March 2020), ‘</w:t>
      </w:r>
      <w:hyperlink r:id="rId50" w:history="1">
        <w:r w:rsidRPr="007327C7">
          <w:rPr>
            <w:rStyle w:val="Hyperlink"/>
            <w:rFonts w:cs="Arial"/>
            <w:sz w:val="18"/>
            <w:szCs w:val="18"/>
          </w:rPr>
          <w:t>Information relating to the Overseas Operations (service personnel and Veterans) Bill</w:t>
        </w:r>
      </w:hyperlink>
      <w:r>
        <w:rPr>
          <w:rFonts w:cs="Arial"/>
          <w:sz w:val="18"/>
          <w:szCs w:val="18"/>
        </w:rPr>
        <w:t>’</w:t>
      </w:r>
      <w:r w:rsidRPr="007327C7">
        <w:rPr>
          <w:rFonts w:cs="Arial"/>
          <w:sz w:val="18"/>
          <w:szCs w:val="18"/>
        </w:rPr>
        <w:t xml:space="preserve"> [accessed: </w:t>
      </w:r>
      <w:r w:rsidR="001C67C0">
        <w:rPr>
          <w:rFonts w:cs="Arial"/>
          <w:sz w:val="18"/>
          <w:szCs w:val="18"/>
        </w:rPr>
        <w:t>11 January 2021</w:t>
      </w:r>
      <w:r w:rsidRPr="007327C7">
        <w:rPr>
          <w:rFonts w:cs="Arial"/>
          <w:sz w:val="18"/>
          <w:szCs w:val="18"/>
        </w:rPr>
        <w:t xml:space="preserve">]. </w:t>
      </w:r>
    </w:p>
  </w:footnote>
  <w:footnote w:id="47">
    <w:p w14:paraId="197A87F2" w14:textId="38CBEFAB" w:rsidR="00923A14" w:rsidRPr="00790877" w:rsidRDefault="00923A14">
      <w:pPr>
        <w:pStyle w:val="FootnoteText"/>
        <w:rPr>
          <w:sz w:val="18"/>
          <w:szCs w:val="18"/>
        </w:rPr>
      </w:pPr>
      <w:r w:rsidRPr="00790877">
        <w:rPr>
          <w:rStyle w:val="FootnoteReference"/>
          <w:sz w:val="18"/>
          <w:szCs w:val="18"/>
        </w:rPr>
        <w:footnoteRef/>
      </w:r>
      <w:r w:rsidRPr="00790877">
        <w:rPr>
          <w:sz w:val="18"/>
          <w:szCs w:val="18"/>
        </w:rPr>
        <w:t xml:space="preserve"> </w:t>
      </w:r>
      <w:hyperlink r:id="rId51" w:history="1">
        <w:r w:rsidRPr="00790877">
          <w:rPr>
            <w:rStyle w:val="Hyperlink"/>
            <w:rFonts w:cs="Arial"/>
            <w:sz w:val="18"/>
            <w:szCs w:val="18"/>
          </w:rPr>
          <w:t>Overseas Operations (Service Personnel and Veterans) Bill (HC Bill 117)</w:t>
        </w:r>
      </w:hyperlink>
      <w:r w:rsidRPr="00790877">
        <w:rPr>
          <w:rFonts w:cs="Arial"/>
          <w:sz w:val="18"/>
          <w:szCs w:val="18"/>
        </w:rPr>
        <w:t xml:space="preserve">, Clause 12. </w:t>
      </w:r>
      <w:hyperlink r:id="rId52" w:history="1">
        <w:r w:rsidRPr="00790877">
          <w:rPr>
            <w:rStyle w:val="Hyperlink"/>
            <w:rFonts w:cs="Arial"/>
            <w:sz w:val="18"/>
            <w:szCs w:val="18"/>
          </w:rPr>
          <w:t>ECHR</w:t>
        </w:r>
      </w:hyperlink>
      <w:r w:rsidRPr="00790877">
        <w:rPr>
          <w:rFonts w:cs="Arial"/>
          <w:sz w:val="18"/>
          <w:szCs w:val="18"/>
        </w:rPr>
        <w:t xml:space="preserve"> Article 15 states: ‘In time of war or other public emergency threatening the life of the nation any High Contracting Party may take measures derogating from its obligations under this Convention to the extent strictly required by the exigencies of the situation, provided that such measures are not inconsistent with its other obligations under international law.’</w:t>
      </w:r>
    </w:p>
  </w:footnote>
  <w:footnote w:id="48">
    <w:p w14:paraId="6E30595F" w14:textId="77777777" w:rsidR="00923A14" w:rsidRPr="00790877" w:rsidRDefault="00923A14" w:rsidP="00080F63">
      <w:pPr>
        <w:pStyle w:val="FootnoteText"/>
        <w:rPr>
          <w:sz w:val="18"/>
          <w:szCs w:val="18"/>
        </w:rPr>
      </w:pPr>
      <w:r w:rsidRPr="00790877">
        <w:rPr>
          <w:rStyle w:val="FootnoteReference"/>
          <w:sz w:val="18"/>
          <w:szCs w:val="18"/>
        </w:rPr>
        <w:footnoteRef/>
      </w:r>
      <w:r w:rsidRPr="00790877">
        <w:rPr>
          <w:sz w:val="18"/>
          <w:szCs w:val="18"/>
        </w:rPr>
        <w:t xml:space="preserve"> </w:t>
      </w:r>
      <w:hyperlink r:id="rId53" w:history="1">
        <w:r w:rsidRPr="00790877">
          <w:rPr>
            <w:rStyle w:val="Hyperlink"/>
            <w:i/>
            <w:iCs/>
            <w:sz w:val="18"/>
            <w:szCs w:val="18"/>
          </w:rPr>
          <w:t>A and Others v. The United Kingdom</w:t>
        </w:r>
        <w:r w:rsidRPr="00790877">
          <w:rPr>
            <w:rStyle w:val="Hyperlink"/>
            <w:sz w:val="18"/>
            <w:szCs w:val="18"/>
          </w:rPr>
          <w:t>, (2009) 49 EHRR 29</w:t>
        </w:r>
      </w:hyperlink>
      <w:r w:rsidRPr="00790877">
        <w:rPr>
          <w:sz w:val="18"/>
          <w:szCs w:val="18"/>
        </w:rPr>
        <w:t xml:space="preserve">, paragraph 184. </w:t>
      </w:r>
    </w:p>
  </w:footnote>
  <w:footnote w:id="49">
    <w:p w14:paraId="33828C0F" w14:textId="597378F2" w:rsidR="00923A14" w:rsidRDefault="00923A14">
      <w:pPr>
        <w:pStyle w:val="FootnoteText"/>
      </w:pPr>
      <w:r w:rsidRPr="00790877">
        <w:rPr>
          <w:rStyle w:val="FootnoteReference"/>
          <w:sz w:val="18"/>
          <w:szCs w:val="18"/>
        </w:rPr>
        <w:footnoteRef/>
      </w:r>
      <w:r w:rsidRPr="00790877">
        <w:rPr>
          <w:sz w:val="18"/>
          <w:szCs w:val="18"/>
        </w:rPr>
        <w:t xml:space="preserve"> </w:t>
      </w:r>
      <w:r w:rsidRPr="00790877">
        <w:rPr>
          <w:rFonts w:eastAsia="Times New Roman" w:cs="Arial"/>
          <w:color w:val="000000"/>
          <w:sz w:val="18"/>
          <w:szCs w:val="18"/>
        </w:rPr>
        <w:t>While Article 15 does allow for derogations from Article 2 in</w:t>
      </w:r>
      <w:r w:rsidRPr="00790877">
        <w:rPr>
          <w:rFonts w:cs="Arial"/>
          <w:i/>
          <w:iCs/>
          <w:color w:val="232323"/>
          <w:sz w:val="18"/>
          <w:szCs w:val="18"/>
        </w:rPr>
        <w:t xml:space="preserve"> “respect of deaths resulting from lawful acts of war”</w:t>
      </w:r>
      <w:r w:rsidRPr="00790877">
        <w:rPr>
          <w:rFonts w:cs="Arial"/>
          <w:color w:val="232323"/>
          <w:sz w:val="18"/>
          <w:szCs w:val="18"/>
        </w:rPr>
        <w:t xml:space="preserve">, it is important to bear in mind that the mere existence of an armed conflict in the State where the operation takes place does not mean that any use of lethal force </w:t>
      </w:r>
      <w:proofErr w:type="gramStart"/>
      <w:r w:rsidRPr="00790877">
        <w:rPr>
          <w:rFonts w:cs="Arial"/>
          <w:color w:val="232323"/>
          <w:sz w:val="18"/>
          <w:szCs w:val="18"/>
        </w:rPr>
        <w:t>will be covered</w:t>
      </w:r>
      <w:proofErr w:type="gramEnd"/>
      <w:r w:rsidRPr="00790877">
        <w:rPr>
          <w:rFonts w:cs="Arial"/>
          <w:color w:val="232323"/>
          <w:sz w:val="18"/>
          <w:szCs w:val="18"/>
        </w:rPr>
        <w:t xml:space="preserve"> by such derogation. See: </w:t>
      </w:r>
      <w:r w:rsidRPr="00790877">
        <w:rPr>
          <w:rFonts w:cs="Arial"/>
          <w:sz w:val="18"/>
          <w:szCs w:val="18"/>
        </w:rPr>
        <w:t xml:space="preserve">Tom </w:t>
      </w:r>
      <w:proofErr w:type="spellStart"/>
      <w:r w:rsidRPr="00790877">
        <w:rPr>
          <w:rFonts w:cs="Arial"/>
          <w:sz w:val="18"/>
          <w:szCs w:val="18"/>
        </w:rPr>
        <w:t>Ruys</w:t>
      </w:r>
      <w:proofErr w:type="spellEnd"/>
      <w:r w:rsidRPr="00790877">
        <w:rPr>
          <w:rFonts w:cs="Arial"/>
          <w:sz w:val="18"/>
          <w:szCs w:val="18"/>
        </w:rPr>
        <w:t xml:space="preserve"> &amp; Cedric De </w:t>
      </w:r>
      <w:proofErr w:type="spellStart"/>
      <w:r w:rsidRPr="00790877">
        <w:rPr>
          <w:rFonts w:cs="Arial"/>
          <w:sz w:val="18"/>
          <w:szCs w:val="18"/>
        </w:rPr>
        <w:t>Koker</w:t>
      </w:r>
      <w:proofErr w:type="spellEnd"/>
      <w:r w:rsidRPr="00790877">
        <w:rPr>
          <w:rFonts w:cs="Arial"/>
          <w:sz w:val="18"/>
          <w:szCs w:val="18"/>
        </w:rPr>
        <w:t xml:space="preserve"> (Ghent </w:t>
      </w:r>
      <w:proofErr w:type="spellStart"/>
      <w:r w:rsidRPr="00790877">
        <w:rPr>
          <w:rFonts w:cs="Arial"/>
          <w:sz w:val="18"/>
          <w:szCs w:val="18"/>
        </w:rPr>
        <w:t>Rolin-Jaequemyns</w:t>
      </w:r>
      <w:proofErr w:type="spellEnd"/>
      <w:r w:rsidRPr="00790877">
        <w:rPr>
          <w:rFonts w:cs="Arial"/>
          <w:sz w:val="18"/>
          <w:szCs w:val="18"/>
        </w:rPr>
        <w:t xml:space="preserve"> International Law Institute) (March 2017), </w:t>
      </w:r>
      <w:hyperlink r:id="rId54" w:history="1">
        <w:r w:rsidRPr="00790877">
          <w:rPr>
            <w:rStyle w:val="Hyperlink"/>
            <w:rFonts w:cs="Arial"/>
            <w:sz w:val="18"/>
            <w:szCs w:val="18"/>
          </w:rPr>
          <w:t>Written evidence to the Joint Committee on Human Rights (DRO0009)</w:t>
        </w:r>
      </w:hyperlink>
      <w:r w:rsidRPr="00790877">
        <w:rPr>
          <w:rFonts w:cs="Arial"/>
          <w:sz w:val="18"/>
          <w:szCs w:val="18"/>
        </w:rPr>
        <w:t xml:space="preserve"> [accessed </w:t>
      </w:r>
      <w:r w:rsidR="003525AF">
        <w:rPr>
          <w:rFonts w:cs="Arial"/>
          <w:sz w:val="18"/>
          <w:szCs w:val="18"/>
        </w:rPr>
        <w:t>11 January 2021</w:t>
      </w:r>
      <w:r w:rsidRPr="00790877">
        <w:rPr>
          <w:rFonts w:cs="Arial"/>
          <w:sz w:val="18"/>
          <w:szCs w:val="18"/>
        </w:rPr>
        <w:t>].</w:t>
      </w:r>
      <w:r w:rsidRPr="00790877">
        <w:rPr>
          <w:rFonts w:cs="Arial"/>
          <w:color w:val="232323"/>
          <w:sz w:val="18"/>
          <w:szCs w:val="18"/>
        </w:rPr>
        <w:t xml:space="preserve"> In addition, where there is any doubt, the </w:t>
      </w:r>
      <w:proofErr w:type="spellStart"/>
      <w:r w:rsidRPr="00790877">
        <w:rPr>
          <w:rFonts w:cs="Arial"/>
          <w:color w:val="232323"/>
          <w:sz w:val="18"/>
          <w:szCs w:val="18"/>
        </w:rPr>
        <w:t>ECtHR</w:t>
      </w:r>
      <w:proofErr w:type="spellEnd"/>
      <w:r w:rsidRPr="00790877">
        <w:rPr>
          <w:rFonts w:cs="Arial"/>
          <w:color w:val="232323"/>
          <w:sz w:val="18"/>
          <w:szCs w:val="18"/>
        </w:rPr>
        <w:t xml:space="preserve"> has held that the procedural obligation under Article 2 continues to apply in difficult security conditions, including in the context of armed conflict. See: </w:t>
      </w:r>
      <w:hyperlink r:id="rId55" w:anchor="{%22itemid%22:[%22001-105606%22]}" w:history="1">
        <w:r w:rsidRPr="00790877">
          <w:rPr>
            <w:rStyle w:val="Hyperlink"/>
            <w:rFonts w:cs="Arial"/>
            <w:i/>
            <w:iCs/>
            <w:sz w:val="18"/>
            <w:szCs w:val="18"/>
          </w:rPr>
          <w:t>Al-</w:t>
        </w:r>
        <w:proofErr w:type="spellStart"/>
        <w:r w:rsidRPr="00790877">
          <w:rPr>
            <w:rStyle w:val="Hyperlink"/>
            <w:rFonts w:cs="Arial"/>
            <w:i/>
            <w:iCs/>
            <w:sz w:val="18"/>
            <w:szCs w:val="18"/>
          </w:rPr>
          <w:t>Skeini</w:t>
        </w:r>
        <w:proofErr w:type="spellEnd"/>
        <w:r w:rsidRPr="00790877">
          <w:rPr>
            <w:rStyle w:val="Hyperlink"/>
            <w:rFonts w:cs="Arial"/>
            <w:i/>
            <w:iCs/>
            <w:sz w:val="18"/>
            <w:szCs w:val="18"/>
          </w:rPr>
          <w:t xml:space="preserve"> and Others v. the United Kingdom</w:t>
        </w:r>
        <w:r w:rsidRPr="00790877">
          <w:rPr>
            <w:rStyle w:val="Hyperlink"/>
            <w:rFonts w:cs="Arial"/>
            <w:sz w:val="18"/>
            <w:szCs w:val="18"/>
          </w:rPr>
          <w:t xml:space="preserve"> [GC], 55721/07</w:t>
        </w:r>
      </w:hyperlink>
      <w:r w:rsidRPr="00790877">
        <w:rPr>
          <w:rFonts w:cs="Arial"/>
          <w:sz w:val="18"/>
          <w:szCs w:val="18"/>
        </w:rPr>
        <w:t xml:space="preserve">, </w:t>
      </w:r>
      <w:r w:rsidRPr="00790877">
        <w:rPr>
          <w:rFonts w:cs="Arial"/>
          <w:color w:val="232323"/>
          <w:sz w:val="18"/>
          <w:szCs w:val="18"/>
        </w:rPr>
        <w:t>para 164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318E" w14:textId="77777777" w:rsidR="00923A14" w:rsidRDefault="00923A14" w:rsidP="00670143">
    <w:pPr>
      <w:pStyle w:val="Header"/>
      <w:spacing w:line="240" w:lineRule="auto"/>
      <w:rPr>
        <w:sz w:val="16"/>
        <w:szCs w:val="16"/>
      </w:rPr>
    </w:pPr>
  </w:p>
  <w:p w14:paraId="3FE6FD43" w14:textId="77777777" w:rsidR="00923A14" w:rsidRDefault="00923A14" w:rsidP="00670143">
    <w:pPr>
      <w:pStyle w:val="Header"/>
      <w:spacing w:line="240" w:lineRule="auto"/>
      <w:rPr>
        <w:sz w:val="16"/>
        <w:szCs w:val="16"/>
      </w:rPr>
    </w:pPr>
  </w:p>
  <w:p w14:paraId="1B8EC3AA" w14:textId="77777777" w:rsidR="00923A14" w:rsidRPr="00063FCE" w:rsidRDefault="00923A14"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13E1" w14:textId="77777777" w:rsidR="00923A14" w:rsidRPr="00B33616" w:rsidRDefault="00923A14" w:rsidP="00B33616">
    <w:pPr>
      <w:pStyle w:val="Header"/>
      <w:jc w:val="right"/>
      <w:rPr>
        <w:color w:val="0000FF"/>
        <w:sz w:val="16"/>
        <w:szCs w:val="16"/>
        <w:u w:val="single"/>
      </w:rPr>
    </w:pPr>
  </w:p>
  <w:p w14:paraId="125163C0" w14:textId="77777777" w:rsidR="00923A14" w:rsidRDefault="00923A14">
    <w:pPr>
      <w:pStyle w:val="Header"/>
    </w:pPr>
  </w:p>
  <w:p w14:paraId="576C7B64" w14:textId="77777777" w:rsidR="00923A14" w:rsidRDefault="00923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68E98" w14:textId="77777777" w:rsidR="00923A14" w:rsidRDefault="00923A14" w:rsidP="00EB0C96">
    <w:pPr>
      <w:pStyle w:val="Header"/>
      <w:jc w:val="right"/>
    </w:pPr>
    <w:r>
      <w:rPr>
        <w:noProof/>
        <w:lang w:eastAsia="en-GB"/>
      </w:rPr>
      <w:drawing>
        <wp:inline distT="0" distB="0" distL="0" distR="0" wp14:anchorId="2057C253" wp14:editId="61C69DDA">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14:paraId="7DC92286" w14:textId="77777777" w:rsidR="00923A14" w:rsidRDefault="00923A14"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34"/>
    <w:multiLevelType w:val="hybridMultilevel"/>
    <w:tmpl w:val="7B92F8F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730529"/>
    <w:multiLevelType w:val="hybridMultilevel"/>
    <w:tmpl w:val="527CB890"/>
    <w:lvl w:ilvl="0" w:tplc="ED821F9E">
      <w:start w:val="1"/>
      <w:numFmt w:val="lowerRoman"/>
      <w:lvlText w:val="(%1)"/>
      <w:lvlJc w:val="left"/>
      <w:pPr>
        <w:ind w:left="2160" w:hanging="360"/>
      </w:pPr>
      <w:rPr>
        <w:rFonts w:ascii="Verdana" w:eastAsia="Verdana" w:hAnsi="Verdana" w:cs="Verdana"/>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93E71"/>
    <w:multiLevelType w:val="hybridMultilevel"/>
    <w:tmpl w:val="F94EA6F6"/>
    <w:lvl w:ilvl="0" w:tplc="7C6E28E4">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6D6EB1"/>
    <w:multiLevelType w:val="hybridMultilevel"/>
    <w:tmpl w:val="D0A0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A1D19"/>
    <w:multiLevelType w:val="hybridMultilevel"/>
    <w:tmpl w:val="7466F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515C5"/>
    <w:multiLevelType w:val="hybridMultilevel"/>
    <w:tmpl w:val="42644D30"/>
    <w:lvl w:ilvl="0" w:tplc="A95A5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86FC3"/>
    <w:multiLevelType w:val="hybridMultilevel"/>
    <w:tmpl w:val="C1E630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205F9"/>
    <w:multiLevelType w:val="hybridMultilevel"/>
    <w:tmpl w:val="6CB84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425D9"/>
    <w:multiLevelType w:val="hybridMultilevel"/>
    <w:tmpl w:val="E9DAD478"/>
    <w:lvl w:ilvl="0" w:tplc="7B7A65BE">
      <w:start w:val="1"/>
      <w:numFmt w:val="lowerLetter"/>
      <w:lvlText w:val="%1."/>
      <w:lvlJc w:val="left"/>
      <w:pPr>
        <w:ind w:left="916" w:hanging="360"/>
      </w:pPr>
      <w:rPr>
        <w:rFonts w:ascii="Arial" w:eastAsia="Calibri" w:hAnsi="Arial" w:cs="Times New Roman"/>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start w:val="1"/>
      <w:numFmt w:val="decimal"/>
      <w:lvlText w:val="%4."/>
      <w:lvlJc w:val="left"/>
      <w:pPr>
        <w:ind w:left="3076" w:hanging="360"/>
      </w:pPr>
    </w:lvl>
    <w:lvl w:ilvl="4" w:tplc="04090019">
      <w:start w:val="1"/>
      <w:numFmt w:val="lowerLetter"/>
      <w:lvlText w:val="%5."/>
      <w:lvlJc w:val="left"/>
      <w:pPr>
        <w:ind w:left="3796" w:hanging="360"/>
      </w:pPr>
    </w:lvl>
    <w:lvl w:ilvl="5" w:tplc="0409001B">
      <w:start w:val="1"/>
      <w:numFmt w:val="lowerRoman"/>
      <w:lvlText w:val="%6."/>
      <w:lvlJc w:val="right"/>
      <w:pPr>
        <w:ind w:left="4516" w:hanging="180"/>
      </w:pPr>
    </w:lvl>
    <w:lvl w:ilvl="6" w:tplc="0409000F">
      <w:start w:val="1"/>
      <w:numFmt w:val="decimal"/>
      <w:lvlText w:val="%7."/>
      <w:lvlJc w:val="left"/>
      <w:pPr>
        <w:ind w:left="5236" w:hanging="360"/>
      </w:pPr>
    </w:lvl>
    <w:lvl w:ilvl="7" w:tplc="04090019">
      <w:start w:val="1"/>
      <w:numFmt w:val="lowerLetter"/>
      <w:lvlText w:val="%8."/>
      <w:lvlJc w:val="left"/>
      <w:pPr>
        <w:ind w:left="5956" w:hanging="360"/>
      </w:pPr>
    </w:lvl>
    <w:lvl w:ilvl="8" w:tplc="0409001B">
      <w:start w:val="1"/>
      <w:numFmt w:val="lowerRoman"/>
      <w:lvlText w:val="%9."/>
      <w:lvlJc w:val="right"/>
      <w:pPr>
        <w:ind w:left="6676" w:hanging="180"/>
      </w:pPr>
    </w:lvl>
  </w:abstractNum>
  <w:abstractNum w:abstractNumId="16"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DF0A7C"/>
    <w:multiLevelType w:val="hybridMultilevel"/>
    <w:tmpl w:val="AF222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782C43"/>
    <w:multiLevelType w:val="hybridMultilevel"/>
    <w:tmpl w:val="794259BE"/>
    <w:lvl w:ilvl="0" w:tplc="AA2280B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0D7804"/>
    <w:multiLevelType w:val="hybridMultilevel"/>
    <w:tmpl w:val="F94EA6F6"/>
    <w:lvl w:ilvl="0" w:tplc="7C6E28E4">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B92CC6"/>
    <w:multiLevelType w:val="hybridMultilevel"/>
    <w:tmpl w:val="F94A3114"/>
    <w:lvl w:ilvl="0" w:tplc="0809000F">
      <w:start w:val="1"/>
      <w:numFmt w:val="decimal"/>
      <w:lvlText w:val="%1."/>
      <w:lvlJc w:val="left"/>
      <w:pPr>
        <w:ind w:left="360" w:hanging="360"/>
      </w:pPr>
      <w:rPr>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17AF0"/>
    <w:multiLevelType w:val="hybridMultilevel"/>
    <w:tmpl w:val="51BE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F5C6A"/>
    <w:multiLevelType w:val="hybridMultilevel"/>
    <w:tmpl w:val="FC0295BC"/>
    <w:lvl w:ilvl="0" w:tplc="A8681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051DB"/>
    <w:multiLevelType w:val="hybridMultilevel"/>
    <w:tmpl w:val="7ED07052"/>
    <w:lvl w:ilvl="0" w:tplc="CC1A9C80">
      <w:start w:val="7"/>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9542D"/>
    <w:multiLevelType w:val="hybridMultilevel"/>
    <w:tmpl w:val="60CCFD20"/>
    <w:lvl w:ilvl="0" w:tplc="6C38277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A6E5F"/>
    <w:multiLevelType w:val="hybridMultilevel"/>
    <w:tmpl w:val="A72A712A"/>
    <w:lvl w:ilvl="0" w:tplc="F06026BE">
      <w:start w:val="2"/>
      <w:numFmt w:val="lowerLetter"/>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7"/>
  </w:num>
  <w:num w:numId="4">
    <w:abstractNumId w:val="26"/>
  </w:num>
  <w:num w:numId="5">
    <w:abstractNumId w:val="14"/>
  </w:num>
  <w:num w:numId="6">
    <w:abstractNumId w:val="7"/>
  </w:num>
  <w:num w:numId="7">
    <w:abstractNumId w:val="10"/>
  </w:num>
  <w:num w:numId="8">
    <w:abstractNumId w:val="22"/>
  </w:num>
  <w:num w:numId="9">
    <w:abstractNumId w:val="27"/>
  </w:num>
  <w:num w:numId="10">
    <w:abstractNumId w:val="8"/>
  </w:num>
  <w:num w:numId="11">
    <w:abstractNumId w:val="32"/>
  </w:num>
  <w:num w:numId="12">
    <w:abstractNumId w:val="25"/>
  </w:num>
  <w:num w:numId="13">
    <w:abstractNumId w:val="3"/>
  </w:num>
  <w:num w:numId="14">
    <w:abstractNumId w:val="9"/>
  </w:num>
  <w:num w:numId="15">
    <w:abstractNumId w:val="1"/>
  </w:num>
  <w:num w:numId="16">
    <w:abstractNumId w:val="23"/>
  </w:num>
  <w:num w:numId="17">
    <w:abstractNumId w:val="30"/>
  </w:num>
  <w:num w:numId="18">
    <w:abstractNumId w:val="0"/>
  </w:num>
  <w:num w:numId="19">
    <w:abstractNumId w:val="18"/>
  </w:num>
  <w:num w:numId="20">
    <w:abstractNumId w:val="19"/>
  </w:num>
  <w:num w:numId="21">
    <w:abstractNumId w:val="24"/>
  </w:num>
  <w:num w:numId="22">
    <w:abstractNumId w:val="11"/>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0"/>
  </w:num>
  <w:num w:numId="29">
    <w:abstractNumId w:val="6"/>
  </w:num>
  <w:num w:numId="30">
    <w:abstractNumId w:val="21"/>
  </w:num>
  <w:num w:numId="31">
    <w:abstractNumId w:val="5"/>
  </w:num>
  <w:num w:numId="32">
    <w:abstractNumId w:val="4"/>
  </w:num>
  <w:num w:numId="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0E"/>
    <w:rsid w:val="000007EE"/>
    <w:rsid w:val="00005749"/>
    <w:rsid w:val="00011932"/>
    <w:rsid w:val="00012B23"/>
    <w:rsid w:val="00014957"/>
    <w:rsid w:val="00037CE7"/>
    <w:rsid w:val="000474E1"/>
    <w:rsid w:val="00075835"/>
    <w:rsid w:val="000775A5"/>
    <w:rsid w:val="00080F63"/>
    <w:rsid w:val="00085D5A"/>
    <w:rsid w:val="000860A3"/>
    <w:rsid w:val="0009598B"/>
    <w:rsid w:val="000A37D7"/>
    <w:rsid w:val="000B4E56"/>
    <w:rsid w:val="000D2075"/>
    <w:rsid w:val="000D77A4"/>
    <w:rsid w:val="000F53AC"/>
    <w:rsid w:val="000F5E3C"/>
    <w:rsid w:val="00103D3B"/>
    <w:rsid w:val="00106084"/>
    <w:rsid w:val="00107C31"/>
    <w:rsid w:val="001170E1"/>
    <w:rsid w:val="001171A0"/>
    <w:rsid w:val="0012060F"/>
    <w:rsid w:val="00123FB2"/>
    <w:rsid w:val="0012503A"/>
    <w:rsid w:val="0012613C"/>
    <w:rsid w:val="00130B79"/>
    <w:rsid w:val="00131213"/>
    <w:rsid w:val="00142766"/>
    <w:rsid w:val="00142A0B"/>
    <w:rsid w:val="00151B9A"/>
    <w:rsid w:val="0017117E"/>
    <w:rsid w:val="00182FC4"/>
    <w:rsid w:val="001A36C8"/>
    <w:rsid w:val="001A3E37"/>
    <w:rsid w:val="001C19CF"/>
    <w:rsid w:val="001C5B84"/>
    <w:rsid w:val="001C67C0"/>
    <w:rsid w:val="001D7828"/>
    <w:rsid w:val="001E45CD"/>
    <w:rsid w:val="001F5AAD"/>
    <w:rsid w:val="00200263"/>
    <w:rsid w:val="00207576"/>
    <w:rsid w:val="002114A1"/>
    <w:rsid w:val="00213F83"/>
    <w:rsid w:val="00214A63"/>
    <w:rsid w:val="00221A8A"/>
    <w:rsid w:val="0023183D"/>
    <w:rsid w:val="00234C2D"/>
    <w:rsid w:val="002354D0"/>
    <w:rsid w:val="00245675"/>
    <w:rsid w:val="00254809"/>
    <w:rsid w:val="00261700"/>
    <w:rsid w:val="0026226F"/>
    <w:rsid w:val="0027696D"/>
    <w:rsid w:val="002822F7"/>
    <w:rsid w:val="002954B0"/>
    <w:rsid w:val="002962C4"/>
    <w:rsid w:val="00296E9E"/>
    <w:rsid w:val="002C0238"/>
    <w:rsid w:val="002C1949"/>
    <w:rsid w:val="002C29BE"/>
    <w:rsid w:val="002C619C"/>
    <w:rsid w:val="002F1601"/>
    <w:rsid w:val="002F7A0B"/>
    <w:rsid w:val="00303007"/>
    <w:rsid w:val="00322D46"/>
    <w:rsid w:val="003239F4"/>
    <w:rsid w:val="00324605"/>
    <w:rsid w:val="0032599E"/>
    <w:rsid w:val="00327D38"/>
    <w:rsid w:val="00335708"/>
    <w:rsid w:val="00343E58"/>
    <w:rsid w:val="003525AF"/>
    <w:rsid w:val="00375E7E"/>
    <w:rsid w:val="00376D3C"/>
    <w:rsid w:val="0038440B"/>
    <w:rsid w:val="00384C0F"/>
    <w:rsid w:val="00392D1A"/>
    <w:rsid w:val="00397D6C"/>
    <w:rsid w:val="003A5110"/>
    <w:rsid w:val="003A670E"/>
    <w:rsid w:val="003B48EE"/>
    <w:rsid w:val="003B6EDF"/>
    <w:rsid w:val="003B7CE8"/>
    <w:rsid w:val="003C36A7"/>
    <w:rsid w:val="003C67CE"/>
    <w:rsid w:val="003D41BA"/>
    <w:rsid w:val="003E5A0A"/>
    <w:rsid w:val="003F4C6B"/>
    <w:rsid w:val="00402085"/>
    <w:rsid w:val="00406F67"/>
    <w:rsid w:val="00407DEB"/>
    <w:rsid w:val="0041781B"/>
    <w:rsid w:val="004211D5"/>
    <w:rsid w:val="0043243E"/>
    <w:rsid w:val="00437944"/>
    <w:rsid w:val="004411C1"/>
    <w:rsid w:val="00457BB8"/>
    <w:rsid w:val="00477989"/>
    <w:rsid w:val="00484AAE"/>
    <w:rsid w:val="00494127"/>
    <w:rsid w:val="004942B0"/>
    <w:rsid w:val="004A0743"/>
    <w:rsid w:val="004A4972"/>
    <w:rsid w:val="004A74C5"/>
    <w:rsid w:val="004B0BB6"/>
    <w:rsid w:val="004D68FA"/>
    <w:rsid w:val="004D70D7"/>
    <w:rsid w:val="004F5A86"/>
    <w:rsid w:val="005101DA"/>
    <w:rsid w:val="00511C96"/>
    <w:rsid w:val="0051471D"/>
    <w:rsid w:val="00522D8D"/>
    <w:rsid w:val="00526901"/>
    <w:rsid w:val="005271C9"/>
    <w:rsid w:val="00532FE6"/>
    <w:rsid w:val="00534703"/>
    <w:rsid w:val="00535B93"/>
    <w:rsid w:val="00540E49"/>
    <w:rsid w:val="00546FFE"/>
    <w:rsid w:val="00547442"/>
    <w:rsid w:val="0055171D"/>
    <w:rsid w:val="00552F3F"/>
    <w:rsid w:val="00554086"/>
    <w:rsid w:val="00555A60"/>
    <w:rsid w:val="00555FAB"/>
    <w:rsid w:val="00557869"/>
    <w:rsid w:val="00577E84"/>
    <w:rsid w:val="00580D4D"/>
    <w:rsid w:val="00581881"/>
    <w:rsid w:val="0059317E"/>
    <w:rsid w:val="00593772"/>
    <w:rsid w:val="005A6496"/>
    <w:rsid w:val="005B08EC"/>
    <w:rsid w:val="005B6D3E"/>
    <w:rsid w:val="005C10F7"/>
    <w:rsid w:val="005C1748"/>
    <w:rsid w:val="005E166B"/>
    <w:rsid w:val="005E7CCE"/>
    <w:rsid w:val="005F3CE6"/>
    <w:rsid w:val="005F633E"/>
    <w:rsid w:val="00670143"/>
    <w:rsid w:val="00670CFC"/>
    <w:rsid w:val="006724E1"/>
    <w:rsid w:val="00680515"/>
    <w:rsid w:val="0068586B"/>
    <w:rsid w:val="0069086B"/>
    <w:rsid w:val="00695F0F"/>
    <w:rsid w:val="0069712D"/>
    <w:rsid w:val="006A0D89"/>
    <w:rsid w:val="006A1E6E"/>
    <w:rsid w:val="006B1EB6"/>
    <w:rsid w:val="006B4B2A"/>
    <w:rsid w:val="006C1C5A"/>
    <w:rsid w:val="006C4238"/>
    <w:rsid w:val="006C46B8"/>
    <w:rsid w:val="006D11E2"/>
    <w:rsid w:val="006E6195"/>
    <w:rsid w:val="006F24FD"/>
    <w:rsid w:val="006F2C80"/>
    <w:rsid w:val="006F35F6"/>
    <w:rsid w:val="006F794C"/>
    <w:rsid w:val="007007F4"/>
    <w:rsid w:val="00704DC0"/>
    <w:rsid w:val="00710ED1"/>
    <w:rsid w:val="00711F63"/>
    <w:rsid w:val="00715415"/>
    <w:rsid w:val="00721D2A"/>
    <w:rsid w:val="0072328F"/>
    <w:rsid w:val="00726811"/>
    <w:rsid w:val="00740F05"/>
    <w:rsid w:val="007456E7"/>
    <w:rsid w:val="00762AAD"/>
    <w:rsid w:val="00777900"/>
    <w:rsid w:val="00787D04"/>
    <w:rsid w:val="00790877"/>
    <w:rsid w:val="007921D5"/>
    <w:rsid w:val="007A3B6B"/>
    <w:rsid w:val="007A6BFB"/>
    <w:rsid w:val="007B5E7D"/>
    <w:rsid w:val="007D0FCD"/>
    <w:rsid w:val="007D4976"/>
    <w:rsid w:val="007D71CC"/>
    <w:rsid w:val="007E751D"/>
    <w:rsid w:val="007F7D08"/>
    <w:rsid w:val="00805F04"/>
    <w:rsid w:val="008121AE"/>
    <w:rsid w:val="008152B2"/>
    <w:rsid w:val="00825D88"/>
    <w:rsid w:val="00855DC9"/>
    <w:rsid w:val="008738B5"/>
    <w:rsid w:val="00877240"/>
    <w:rsid w:val="0088503D"/>
    <w:rsid w:val="00885CFD"/>
    <w:rsid w:val="0089287F"/>
    <w:rsid w:val="00894F2D"/>
    <w:rsid w:val="00895887"/>
    <w:rsid w:val="008A30BF"/>
    <w:rsid w:val="008B58A6"/>
    <w:rsid w:val="008B739C"/>
    <w:rsid w:val="008C2337"/>
    <w:rsid w:val="008C57F8"/>
    <w:rsid w:val="008D165F"/>
    <w:rsid w:val="008E2990"/>
    <w:rsid w:val="008E75BC"/>
    <w:rsid w:val="008F530D"/>
    <w:rsid w:val="00901B13"/>
    <w:rsid w:val="00903FE5"/>
    <w:rsid w:val="00905066"/>
    <w:rsid w:val="009057C4"/>
    <w:rsid w:val="00913B6B"/>
    <w:rsid w:val="009170C5"/>
    <w:rsid w:val="00920A2D"/>
    <w:rsid w:val="00923A14"/>
    <w:rsid w:val="0094368E"/>
    <w:rsid w:val="00944D99"/>
    <w:rsid w:val="00951217"/>
    <w:rsid w:val="00956300"/>
    <w:rsid w:val="009625D9"/>
    <w:rsid w:val="0096460C"/>
    <w:rsid w:val="00970D9B"/>
    <w:rsid w:val="009717F6"/>
    <w:rsid w:val="00972A7D"/>
    <w:rsid w:val="00975D11"/>
    <w:rsid w:val="00983033"/>
    <w:rsid w:val="009915DF"/>
    <w:rsid w:val="00992428"/>
    <w:rsid w:val="009B08F4"/>
    <w:rsid w:val="009C2AA5"/>
    <w:rsid w:val="009D1AE8"/>
    <w:rsid w:val="009D7C29"/>
    <w:rsid w:val="009E26B3"/>
    <w:rsid w:val="009E287E"/>
    <w:rsid w:val="009E2AF9"/>
    <w:rsid w:val="009F0805"/>
    <w:rsid w:val="009F54C9"/>
    <w:rsid w:val="009F67B6"/>
    <w:rsid w:val="00A0125E"/>
    <w:rsid w:val="00A03BEC"/>
    <w:rsid w:val="00A07753"/>
    <w:rsid w:val="00A108A2"/>
    <w:rsid w:val="00A1186D"/>
    <w:rsid w:val="00A14805"/>
    <w:rsid w:val="00A15A89"/>
    <w:rsid w:val="00A16AC5"/>
    <w:rsid w:val="00A2575F"/>
    <w:rsid w:val="00A35B17"/>
    <w:rsid w:val="00A41EA4"/>
    <w:rsid w:val="00A52C21"/>
    <w:rsid w:val="00A5457F"/>
    <w:rsid w:val="00A632FC"/>
    <w:rsid w:val="00A724F2"/>
    <w:rsid w:val="00A76E0C"/>
    <w:rsid w:val="00A80532"/>
    <w:rsid w:val="00A85555"/>
    <w:rsid w:val="00A94B4E"/>
    <w:rsid w:val="00AB35BA"/>
    <w:rsid w:val="00AD21A3"/>
    <w:rsid w:val="00B04F3E"/>
    <w:rsid w:val="00B15590"/>
    <w:rsid w:val="00B16AE7"/>
    <w:rsid w:val="00B25229"/>
    <w:rsid w:val="00B33616"/>
    <w:rsid w:val="00B4421E"/>
    <w:rsid w:val="00B56626"/>
    <w:rsid w:val="00B6164A"/>
    <w:rsid w:val="00B63F05"/>
    <w:rsid w:val="00B64BD8"/>
    <w:rsid w:val="00B737F7"/>
    <w:rsid w:val="00B93E36"/>
    <w:rsid w:val="00BA5E0F"/>
    <w:rsid w:val="00BA6011"/>
    <w:rsid w:val="00BB13E3"/>
    <w:rsid w:val="00BC1E0B"/>
    <w:rsid w:val="00BC30F7"/>
    <w:rsid w:val="00BC55C3"/>
    <w:rsid w:val="00BD5CB3"/>
    <w:rsid w:val="00BE7F65"/>
    <w:rsid w:val="00BF2419"/>
    <w:rsid w:val="00C04B13"/>
    <w:rsid w:val="00C23FFD"/>
    <w:rsid w:val="00C24A5C"/>
    <w:rsid w:val="00C24E96"/>
    <w:rsid w:val="00C26793"/>
    <w:rsid w:val="00C326B4"/>
    <w:rsid w:val="00C353ED"/>
    <w:rsid w:val="00C40CEB"/>
    <w:rsid w:val="00C41618"/>
    <w:rsid w:val="00C45230"/>
    <w:rsid w:val="00C4740A"/>
    <w:rsid w:val="00C6383D"/>
    <w:rsid w:val="00C65D82"/>
    <w:rsid w:val="00C7224C"/>
    <w:rsid w:val="00C72577"/>
    <w:rsid w:val="00C761D3"/>
    <w:rsid w:val="00C94584"/>
    <w:rsid w:val="00CA68A0"/>
    <w:rsid w:val="00CE1482"/>
    <w:rsid w:val="00CF09F7"/>
    <w:rsid w:val="00D00569"/>
    <w:rsid w:val="00D005C5"/>
    <w:rsid w:val="00D01AD5"/>
    <w:rsid w:val="00D02962"/>
    <w:rsid w:val="00D1095F"/>
    <w:rsid w:val="00D16475"/>
    <w:rsid w:val="00D2663D"/>
    <w:rsid w:val="00D348C6"/>
    <w:rsid w:val="00D35CC0"/>
    <w:rsid w:val="00D56859"/>
    <w:rsid w:val="00D573C8"/>
    <w:rsid w:val="00D76033"/>
    <w:rsid w:val="00D82D0C"/>
    <w:rsid w:val="00D82EA5"/>
    <w:rsid w:val="00D8715C"/>
    <w:rsid w:val="00D91987"/>
    <w:rsid w:val="00D93022"/>
    <w:rsid w:val="00DA3ABF"/>
    <w:rsid w:val="00DB606D"/>
    <w:rsid w:val="00DD1434"/>
    <w:rsid w:val="00DD3D0F"/>
    <w:rsid w:val="00DE683C"/>
    <w:rsid w:val="00DF14DB"/>
    <w:rsid w:val="00DF23FD"/>
    <w:rsid w:val="00DF355D"/>
    <w:rsid w:val="00DF633F"/>
    <w:rsid w:val="00E17EBA"/>
    <w:rsid w:val="00E22625"/>
    <w:rsid w:val="00E245A5"/>
    <w:rsid w:val="00E32F97"/>
    <w:rsid w:val="00E34B7A"/>
    <w:rsid w:val="00E37623"/>
    <w:rsid w:val="00E37F68"/>
    <w:rsid w:val="00E413D5"/>
    <w:rsid w:val="00E512C9"/>
    <w:rsid w:val="00E54C03"/>
    <w:rsid w:val="00E55E8E"/>
    <w:rsid w:val="00E71628"/>
    <w:rsid w:val="00E74239"/>
    <w:rsid w:val="00E755CA"/>
    <w:rsid w:val="00E85E65"/>
    <w:rsid w:val="00E9425F"/>
    <w:rsid w:val="00EA475F"/>
    <w:rsid w:val="00EB0035"/>
    <w:rsid w:val="00EB0C96"/>
    <w:rsid w:val="00EB3FC5"/>
    <w:rsid w:val="00EC3DA0"/>
    <w:rsid w:val="00EF41F1"/>
    <w:rsid w:val="00EF45F5"/>
    <w:rsid w:val="00EF6AC6"/>
    <w:rsid w:val="00F12831"/>
    <w:rsid w:val="00F205C6"/>
    <w:rsid w:val="00F23E73"/>
    <w:rsid w:val="00F25719"/>
    <w:rsid w:val="00F34E6D"/>
    <w:rsid w:val="00F35CA1"/>
    <w:rsid w:val="00F4516F"/>
    <w:rsid w:val="00F4551B"/>
    <w:rsid w:val="00F479D8"/>
    <w:rsid w:val="00F51FF0"/>
    <w:rsid w:val="00F533A8"/>
    <w:rsid w:val="00F60B92"/>
    <w:rsid w:val="00F6594F"/>
    <w:rsid w:val="00F66641"/>
    <w:rsid w:val="00F81875"/>
    <w:rsid w:val="00F86E07"/>
    <w:rsid w:val="00FA0F2C"/>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7D551"/>
  <w15:chartTrackingRefBased/>
  <w15:docId w15:val="{48983BB5-636C-427F-9D80-CFFBCA6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qFormat/>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A632FC"/>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A632FC"/>
    <w:rPr>
      <w:rFonts w:eastAsiaTheme="minorEastAsia" w:cs="Times New Roman"/>
      <w:lang w:val="en-US"/>
    </w:rPr>
  </w:style>
  <w:style w:type="paragraph" w:customStyle="1" w:styleId="mainbodycopy">
    <w:name w:val="&gt; main body copy"/>
    <w:basedOn w:val="Normal"/>
    <w:qFormat/>
    <w:rsid w:val="00384C0F"/>
    <w:pPr>
      <w:spacing w:after="360" w:line="360" w:lineRule="auto"/>
    </w:pPr>
    <w:rPr>
      <w:rFonts w:cs="Arial"/>
      <w:spacing w:val="3"/>
      <w:szCs w:val="24"/>
    </w:rPr>
  </w:style>
  <w:style w:type="character" w:styleId="Strong">
    <w:name w:val="Strong"/>
    <w:basedOn w:val="DefaultParagraphFont"/>
    <w:uiPriority w:val="22"/>
    <w:qFormat/>
    <w:rsid w:val="001F5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374502418">
      <w:bodyDiv w:val="1"/>
      <w:marLeft w:val="0"/>
      <w:marRight w:val="0"/>
      <w:marTop w:val="0"/>
      <w:marBottom w:val="0"/>
      <w:divBdr>
        <w:top w:val="none" w:sz="0" w:space="0" w:color="auto"/>
        <w:left w:val="none" w:sz="0" w:space="0" w:color="auto"/>
        <w:bottom w:val="none" w:sz="0" w:space="0" w:color="auto"/>
        <w:right w:val="none" w:sz="0" w:space="0" w:color="auto"/>
      </w:divBdr>
    </w:div>
    <w:div w:id="476188780">
      <w:bodyDiv w:val="1"/>
      <w:marLeft w:val="0"/>
      <w:marRight w:val="0"/>
      <w:marTop w:val="0"/>
      <w:marBottom w:val="0"/>
      <w:divBdr>
        <w:top w:val="none" w:sz="0" w:space="0" w:color="auto"/>
        <w:left w:val="none" w:sz="0" w:space="0" w:color="auto"/>
        <w:bottom w:val="none" w:sz="0" w:space="0" w:color="auto"/>
        <w:right w:val="none" w:sz="0" w:space="0" w:color="auto"/>
      </w:divBdr>
    </w:div>
    <w:div w:id="814293929">
      <w:bodyDiv w:val="1"/>
      <w:marLeft w:val="0"/>
      <w:marRight w:val="0"/>
      <w:marTop w:val="0"/>
      <w:marBottom w:val="0"/>
      <w:divBdr>
        <w:top w:val="none" w:sz="0" w:space="0" w:color="auto"/>
        <w:left w:val="none" w:sz="0" w:space="0" w:color="auto"/>
        <w:bottom w:val="none" w:sz="0" w:space="0" w:color="auto"/>
        <w:right w:val="none" w:sz="0" w:space="0" w:color="auto"/>
      </w:divBdr>
    </w:div>
    <w:div w:id="987246060">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Borrell@equalityhumanright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qualityhumanrigh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ohchr.org%2FEN%2FProfessionalInterest%2FPages%2FCAT.aspx&amp;data=04%7C01%7Clindsey.pratt386%40mod.gov.uk%7Caf5939de4c2d4604ae5908d89dc41344%7Cbe7760ed5953484bae95d0a16dfa09e5%7C0%7C0%7C637432812772958732%7CUnknown%7CTWFpbGZsb3d8eyJWIjoiMC4wLjAwMDAiLCJQIjoiV2luMzIiLCJBTiI6Ik1haWwiLCJXVCI6Mn0%3D%7C1000&amp;sdata=lGKs5yvzoqA46W9pSvty2IST%2BqmwJVztXMFS6vPVtn4%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meron-Wong.McDermott@equalityhumanrights.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2.ohchr.org/english/bodies/cat/docs/gc/cat-c-gc-3_en.pdf" TargetMode="External"/><Relationship Id="rId18" Type="http://schemas.openxmlformats.org/officeDocument/2006/relationships/hyperlink" Target="https://www.freedomfromtorture.org/sites/default/files/2019-10/FFT%20response%20to%20MOD%20consultation%20on%20legal%20protections%20for%20armed%20forces%20personnel.pdf" TargetMode="External"/><Relationship Id="rId26" Type="http://schemas.openxmlformats.org/officeDocument/2006/relationships/hyperlink" Target="https://www.icc-cpi.int/itemsDocuments/201209-otp-final-report-iraq-uk-eng.pdf" TargetMode="External"/><Relationship Id="rId39" Type="http://schemas.openxmlformats.org/officeDocument/2006/relationships/hyperlink" Target="https://www.icc-cpi.int/resource-library/documents/rs-eng.pdf" TargetMode="External"/><Relationship Id="rId21" Type="http://schemas.openxmlformats.org/officeDocument/2006/relationships/hyperlink" Target="https://ihl-databases.icrc.org/applic/ihl/ihl.nsf/Article.xsp?action=openDocument&amp;documentId=3F6C2B8B20272F58C12563CD0051A2BB" TargetMode="External"/><Relationship Id="rId34" Type="http://schemas.openxmlformats.org/officeDocument/2006/relationships/hyperlink" Target="https://hansard.parliament.uk/Commons/2020-09-23/debates/BE01763F-2480-4C4B-9FAA-E36AC7158566/OverseasOperations(ServicePersonnelAndVeterans)Bill" TargetMode="External"/><Relationship Id="rId42" Type="http://schemas.openxmlformats.org/officeDocument/2006/relationships/hyperlink" Target="https://www.icc-cpi.int/resource-library/documents/rs-eng.pdf" TargetMode="External"/><Relationship Id="rId47" Type="http://schemas.openxmlformats.org/officeDocument/2006/relationships/hyperlink" Target="http://www2.bailii.org/eu/cases/ECHR/2007/989.html" TargetMode="External"/><Relationship Id="rId50" Type="http://schemas.openxmlformats.org/officeDocument/2006/relationships/hyperlink" Target="https://www.gov.uk/government/publications/overseas-operations-service-personnel-and-veterans-bill" TargetMode="External"/><Relationship Id="rId55" Type="http://schemas.openxmlformats.org/officeDocument/2006/relationships/hyperlink" Target="https://hudoc.echr.coe.int/fre" TargetMode="External"/><Relationship Id="rId7" Type="http://schemas.openxmlformats.org/officeDocument/2006/relationships/hyperlink" Target="https://www.echr.coe.int/Documents/Convention_ENG.pdf" TargetMode="External"/><Relationship Id="rId12" Type="http://schemas.openxmlformats.org/officeDocument/2006/relationships/hyperlink" Target="https://www.equalityhumanrights.com/sites/default/files/britain_and_the_convention_against_torture.pdf" TargetMode="External"/><Relationship Id="rId17" Type="http://schemas.openxmlformats.org/officeDocument/2006/relationships/hyperlink" Target="http://www.worldcourts.com/icj/eng/decisions/2012.07.20_Belgium_v_Senegal.pdf" TargetMode="External"/><Relationship Id="rId25" Type="http://schemas.openxmlformats.org/officeDocument/2006/relationships/hyperlink" Target="https://www.icc-cpi.int/itemsDocuments/201209-otp-final-report-iraq-uk-eng.pdf" TargetMode="External"/><Relationship Id="rId33" Type="http://schemas.openxmlformats.org/officeDocument/2006/relationships/hyperlink" Target="https://hansard.parliament.uk/Commons/2020-10-20/debates/a16c3d96-fbb4-4487-86a5-adcedb658b31/OverseasOperations(ServicePersonnelAndVeterans)Bill(SeventhSitting)" TargetMode="External"/><Relationship Id="rId38" Type="http://schemas.openxmlformats.org/officeDocument/2006/relationships/hyperlink" Target="https://www.ohchr.org/en/professionalinterest/pages/crimeofgenocide.aspx" TargetMode="External"/><Relationship Id="rId46" Type="http://schemas.openxmlformats.org/officeDocument/2006/relationships/hyperlink" Target="https://b1cba9b3-a-5e6631fd-s-sites.googlegroups.com/a/independent.gov.uk/isc/files/20180628_HC1113_Report_Detainee_Mistreatment_and_Rendition_2001_10.pdf?attachauth=ANoY7cq8ILtcwT1yvI5v_Bu9Z571cT5XKmAe7GQc0g_OqHqs3r8hGZ1w-jfqAB-haHy-tdDrVgi3-AYKxp5-f2NkQW7avdyZLYeIth2ZCB-gKdyyS-SecB2wry8MijIdOYFpWlv3E6YFJb0PTAtwzv_3Kz5Iyvt6zFaXY84TM0al-EfxvJeQ-gIk1x-g62rZjUHmgDzT2pcnRhBiO15HJLjZ7AAoiT83dfti3ShcFBOSch8LiIoYM2Tzt-dc4FRuqlMreURN3DpiCzitr8fbQgx4B2zH2Dk-92jZTW_usGCqHMIOzK_ObX4%3D&amp;attredirects=1" TargetMode="External"/><Relationship Id="rId2" Type="http://schemas.openxmlformats.org/officeDocument/2006/relationships/hyperlink" Target="https://services.parliament.uk/bills/2019-21/overseasoperationsservicepersonnelandveterans.html" TargetMode="External"/><Relationship Id="rId16" Type="http://schemas.openxmlformats.org/officeDocument/2006/relationships/hyperlink" Target="https://tbinternet.ohchr.org/_layouts/15/treatybodyexternal/TBSearch.aspx?Lang=en&amp;TreatyID=8&amp;DocTypeID=11" TargetMode="External"/><Relationship Id="rId20" Type="http://schemas.openxmlformats.org/officeDocument/2006/relationships/hyperlink" Target="https://www.icc-cpi.int/resource-library/documents/rs-eng.pdf" TargetMode="External"/><Relationship Id="rId29" Type="http://schemas.openxmlformats.org/officeDocument/2006/relationships/hyperlink" Target="http://www2.bailii.org/eu/cases/ECHR/2007/989.html" TargetMode="External"/><Relationship Id="rId41" Type="http://schemas.openxmlformats.org/officeDocument/2006/relationships/hyperlink" Target="https://www.icc-cpi.int/resource-library/documents/rs-eng.pdf" TargetMode="External"/><Relationship Id="rId54" Type="http://schemas.openxmlformats.org/officeDocument/2006/relationships/hyperlink" Target="http://data.parliament.uk/writtenevidence/committeeevidence.svc/evidencedocument/human-rights-committee/the-governments-proposed-derogation-from-the-echr/written/49471.pdf" TargetMode="External"/><Relationship Id="rId1" Type="http://schemas.openxmlformats.org/officeDocument/2006/relationships/hyperlink" Target="https://services.parliament.uk/bills/2019-21/overseasoperationsservicepersonnelandveterans.html" TargetMode="External"/><Relationship Id="rId6" Type="http://schemas.openxmlformats.org/officeDocument/2006/relationships/hyperlink" Target="https://publications.parliament.uk/pa/bills/cbill/58-01/0117/cbill_2019-20210117_en_1.htm" TargetMode="External"/><Relationship Id="rId11" Type="http://schemas.openxmlformats.org/officeDocument/2006/relationships/hyperlink" Target="https://services.parliament.uk/bills/2019-21/overseasoperationsservicepersonnelandveterans.html" TargetMode="External"/><Relationship Id="rId24" Type="http://schemas.openxmlformats.org/officeDocument/2006/relationships/hyperlink" Target="https://www.icc-cpi.int/iraq" TargetMode="External"/><Relationship Id="rId32" Type="http://schemas.openxmlformats.org/officeDocument/2006/relationships/hyperlink" Target="https://hansard.parliament.uk/Commons/2020-10-14/debates/61a41ccd-a513-46ec-bacd-b865adbd6a8e/OverseasOperations(ServicePersonnelAndVeterans)Bill(SixthSitting)" TargetMode="External"/><Relationship Id="rId37" Type="http://schemas.openxmlformats.org/officeDocument/2006/relationships/hyperlink" Target="https://eur01.safelinks.protection.outlook.com/?url=https%3A%2F%2Fhudoc.echr.coe.int%2Feng%23%257B%2522appno%2522%3A%5B%252239630%2F09%2522%5D%2C%2522itemid%2522%3A%5B%2522001-115621%2522%5D%257D&amp;data=04%7C01%7Clindsey.pratt386%40mod.gov.uk%7Caf5939de4c2d4604ae5908d89dc41344%7Cbe7760ed5953484bae95d0a16dfa09e5%7C0%7C0%7C637432812772958732%7CUnknown%7CTWFpbGZsb3d8eyJWIjoiMC4wLjAwMDAiLCJQIjoiV2luMzIiLCJBTiI6Ik1haWwiLCJXVCI6Mn0%3D%7C1000&amp;sdata=DxeMwfAjqwHDKeEq57RxiyZLm5%2FS1Hy7drmhzCpkqC4%3D&amp;reserved=0" TargetMode="External"/><Relationship Id="rId40" Type="http://schemas.openxmlformats.org/officeDocument/2006/relationships/hyperlink" Target="https://www.icc-cpi.int/resource-library/documents/rs-eng.pdf" TargetMode="External"/><Relationship Id="rId45" Type="http://schemas.openxmlformats.org/officeDocument/2006/relationships/hyperlink" Target="https://publications.parliament.uk/pa/bills/cbill/58-01/0117/cbill_2019-20210117_en_1.htm" TargetMode="External"/><Relationship Id="rId53" Type="http://schemas.openxmlformats.org/officeDocument/2006/relationships/hyperlink" Target="https://www.refworld.org/cases,ECHR,499d4a1b2.html" TargetMode="External"/><Relationship Id="rId5" Type="http://schemas.openxmlformats.org/officeDocument/2006/relationships/hyperlink" Target="https://publications.parliament.uk/pa/bills/cbill/58-01/0117/cbill_2019-20210117_en_1.htm" TargetMode="External"/><Relationship Id="rId15" Type="http://schemas.openxmlformats.org/officeDocument/2006/relationships/hyperlink" Target="http://hrlibrary.umn.edu/gencomm/hrcom20.htm" TargetMode="External"/><Relationship Id="rId23" Type="http://schemas.openxmlformats.org/officeDocument/2006/relationships/hyperlink" Target="https://www.icc-cpi.int/resource-library/documents/rs-eng.pdf" TargetMode="External"/><Relationship Id="rId28" Type="http://schemas.openxmlformats.org/officeDocument/2006/relationships/hyperlink" Target="https://publications.parliament.uk/pa/bills/cbill/58-01/0117/cbill_2019-20210117_en_1.htm" TargetMode="External"/><Relationship Id="rId36" Type="http://schemas.openxmlformats.org/officeDocument/2006/relationships/hyperlink" Target="https://hansard.parliament.uk/Commons/2020-10-20/debates/a16c3d96-fbb4-4487-86a5-adcedb658b31/OverseasOperations(ServicePersonnelAndVeterans)Bill(SeventhSitting)" TargetMode="External"/><Relationship Id="rId49" Type="http://schemas.openxmlformats.org/officeDocument/2006/relationships/hyperlink" Target="https://www.parliament.uk/business/news/2020/july/urgent-question-civil-liability-claims/" TargetMode="External"/><Relationship Id="rId10" Type="http://schemas.openxmlformats.org/officeDocument/2006/relationships/hyperlink" Target="https://services.parliament.uk/bills/2019-21/overseasoperationsservicepersonnelandveterans.html" TargetMode="External"/><Relationship Id="rId19" Type="http://schemas.openxmlformats.org/officeDocument/2006/relationships/hyperlink" Target="https://www.ohchr.org/en/professionalinterest/pages/crimeofgenocide.aspx" TargetMode="External"/><Relationship Id="rId31" Type="http://schemas.openxmlformats.org/officeDocument/2006/relationships/hyperlink" Target="https://hansard.parliament.uk/Commons/2020-09-23/debates/BE01763F-2480-4C4B-9FAA-E36AC7158566/OverseasOperations(ServicePersonnelAndVeterans)Bill" TargetMode="External"/><Relationship Id="rId44" Type="http://schemas.openxmlformats.org/officeDocument/2006/relationships/hyperlink" Target="https://publications.parliament.uk/pa/bills/cbill/58-01/0117/cbill_2019-20210117_en_1.htm" TargetMode="External"/><Relationship Id="rId52" Type="http://schemas.openxmlformats.org/officeDocument/2006/relationships/hyperlink" Target="https://www.echr.coe.int/Documents/Convention_ENG.pdf" TargetMode="External"/><Relationship Id="rId4" Type="http://schemas.openxmlformats.org/officeDocument/2006/relationships/hyperlink" Target="https://publications.parliament.uk/pa/bills/cbill/58-01/0117/cbill_2019-20210117_en_1.htm" TargetMode="External"/><Relationship Id="rId9" Type="http://schemas.openxmlformats.org/officeDocument/2006/relationships/hyperlink" Target="https://publications.parliament.uk/pa/bills/cbill/58-01/0117/20117.pdf" TargetMode="External"/><Relationship Id="rId14" Type="http://schemas.openxmlformats.org/officeDocument/2006/relationships/hyperlink" Target="https://www.icrc.org/en/doc/assets/files/other/customary-international-humanitarian-law-i-icrc-eng.pdf" TargetMode="External"/><Relationship Id="rId22" Type="http://schemas.openxmlformats.org/officeDocument/2006/relationships/hyperlink" Target="https://www.icc-cpi.int/resource-library/documents/rs-eng.pdf" TargetMode="External"/><Relationship Id="rId27" Type="http://schemas.openxmlformats.org/officeDocument/2006/relationships/hyperlink" Target="https://hudoc.echr.coe.int/eng" TargetMode="External"/><Relationship Id="rId30" Type="http://schemas.openxmlformats.org/officeDocument/2006/relationships/hyperlink" Target="https://publications.parliament.uk/pa/bills/cbill/58-01/0117/20117.pdf" TargetMode="External"/><Relationship Id="rId35" Type="http://schemas.openxmlformats.org/officeDocument/2006/relationships/hyperlink" Target="https://hansard.parliament.uk/Commons/2020-10-14/debates/61a41ccd-a513-46ec-bacd-b865adbd6a8e/OverseasOperations(ServicePersonnelAndVeterans)Bill(SixthSitting)" TargetMode="External"/><Relationship Id="rId43" Type="http://schemas.openxmlformats.org/officeDocument/2006/relationships/hyperlink" Target="https://publications.parliament.uk/pa/bills/cbill/58-01/0117/cbill_2019-20210117_en_1.htm" TargetMode="External"/><Relationship Id="rId48" Type="http://schemas.openxmlformats.org/officeDocument/2006/relationships/hyperlink" Target="http://data.parliament.uk/writtenevidence/committeeevidence.svc/evidencedocument/human-rights-committee/the-governments-proposed-derogation-from-the-echr/written/49515.html" TargetMode="External"/><Relationship Id="rId8" Type="http://schemas.openxmlformats.org/officeDocument/2006/relationships/hyperlink" Target="https://publications.parliament.uk/pa/bills/cbill/58-01/0117/20117.pdf" TargetMode="External"/><Relationship Id="rId51" Type="http://schemas.openxmlformats.org/officeDocument/2006/relationships/hyperlink" Target="https://publications.parliament.uk/pa/bills/cbill/58-01/0117/cbill_2019-20210117_en_1.htm" TargetMode="External"/><Relationship Id="rId3" Type="http://schemas.openxmlformats.org/officeDocument/2006/relationships/hyperlink" Target="https://assets.publishing.service.gov.uk/government/uploads/system/uploads/attachment_data/file/819101/20190718-MOD_consultation_document-FIN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erks\Downloads\General%20briefing%20template%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3CD4-53A2-4EFC-9349-A8C4853FD586}">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4.xml><?xml version="1.0" encoding="utf-8"?>
<ds:datastoreItem xmlns:ds="http://schemas.openxmlformats.org/officeDocument/2006/customXml" ds:itemID="{B1C99BB8-CCEC-4CDD-A7E6-DD3E1314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briefing template accessible (1).dotx</Template>
  <TotalTime>1</TotalTime>
  <Pages>13</Pages>
  <Words>2425</Words>
  <Characters>14284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Katherine Perks</dc:creator>
  <cp:keywords/>
  <dc:description/>
  <cp:lastModifiedBy>Rachel Longstaff</cp:lastModifiedBy>
  <cp:revision>2</cp:revision>
  <dcterms:created xsi:type="dcterms:W3CDTF">2021-01-18T10:21:00Z</dcterms:created>
  <dcterms:modified xsi:type="dcterms:W3CDTF">2021-01-18T10:21:00Z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